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10207"/>
      </w:tblGrid>
      <w:tr>
        <w:trPr>
          <w:trHeight w:val="2791" w:hRule="exact"/>
        </w:trPr>
        <w:tc>
          <w:tcPr>
            <w:tcW w:w="10207" w:type="dxa"/>
            <w:tcMar>
              <w:left w:w="80" w:type="dxa"/>
              <w:top w:w="60" w:type="dxa"/>
              <w:right w:w="80" w:type="dxa"/>
              <w:bottom w:w="60" w:type="dxa"/>
            </w:tcMar>
          </w:tcPr>
          <w:p>
            <w:pPr>
              <w:pStyle w:val="Style_5"/>
              <w:spacing w:before="0" w:after="0" w:line="240" w:lineRule="auto"/>
              <w:ind w:left="0" w:firstLine="0"/>
              <w:jc w:val="left"/>
              <w:rPr>
                <w:rFonts w:ascii="Tahoma" w:hAnsi="Tahoma" w:eastAsia="Tahoma" w:cs="Tahoma"/>
                <w:b w:val="0"/>
                <w:i w:val="0"/>
                <w:strike w:val="0"/>
                <w:sz w:val="20"/>
              </w:rPr>
            </w:pPr>
            <w:r>
              <w:rPr>
                <w:rFonts w:ascii="Tahoma" w:hAnsi="Tahoma" w:eastAsia="Tahoma" w:cs="Tahoma"/>
                <w:b w:val="0"/>
                <w:i w:val="0"/>
                <w:strike w:val="0"/>
                <w:sz w:val="20"/>
              </w:rPr>
              <mc:AlternateContent>
                <mc:Choice Requires="wpg">
                  <w:drawing>
                    <wp:inline xmlns:wp="http://schemas.openxmlformats.org/drawingml/2006/wordprocessingDrawing" distT="0" distB="0" distL="0" distR="0">
                      <wp:extent cx="3810000" cy="904875"/>
                      <wp:effectExtent l="0" t="0" r="0" b="0"/>
                      <wp:docPr id="1" name="_x0000_s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0"/>
                              <a:stretch/>
                            </pic:blipFill>
                            <pic:spPr>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7676" w:hRule="exact"/>
        </w:trPr>
        <w:tc>
          <w:tcPr>
            <w:tcW w:w="10207" w:type="dxa"/>
            <w:tcMar>
              <w:left w:w="80" w:type="dxa"/>
              <w:top w:w="60" w:type="dxa"/>
              <w:right w:w="80" w:type="dxa"/>
              <w:bottom w:w="60" w:type="dxa"/>
            </w:tcMar>
            <w:vAlign w:val="center"/>
          </w:tcPr>
          <w:p>
            <w:pPr>
              <w:pStyle w:val="Style_5"/>
              <w:spacing w:before="0" w:after="0" w:line="240" w:lineRule="auto"/>
              <w:ind w:left="0" w:firstLine="0"/>
              <w:jc w:val="center"/>
              <w:rPr>
                <w:rFonts w:ascii="Tahoma" w:hAnsi="Tahoma" w:eastAsia="Tahoma" w:cs="Tahoma"/>
                <w:b w:val="0"/>
                <w:i w:val="0"/>
                <w:strike w:val="0"/>
                <w:sz w:val="48"/>
              </w:rPr>
            </w:pPr>
            <w:r>
              <w:rPr>
                <w:rFonts w:ascii="Tahoma" w:hAnsi="Tahoma" w:eastAsia="Tahoma" w:cs="Tahoma"/>
                <w:b w:val="0"/>
                <w:i w:val="0"/>
                <w:strike w:val="0"/>
                <w:sz w:val="48"/>
              </w:rPr>
              <w:t xml:space="preserve">Постановление Администрации Приморского края от 21.03.2019 N 170-па</w:t>
            </w:r>
            <w:r>
              <w:rPr>
                <w:rFonts w:ascii="Tahoma" w:hAnsi="Tahoma" w:eastAsia="Tahoma" w:cs="Tahoma"/>
                <w:b w:val="0"/>
                <w:i w:val="0"/>
                <w:strike w:val="0"/>
                <w:sz w:val="48"/>
              </w:rPr>
              <w:br/>
            </w:r>
            <w:r>
              <w:rPr>
                <w:rFonts w:ascii="Tahoma" w:hAnsi="Tahoma" w:eastAsia="Tahoma" w:cs="Tahoma"/>
                <w:b w:val="0"/>
                <w:i w:val="0"/>
                <w:strike w:val="0"/>
                <w:sz w:val="48"/>
              </w:rPr>
              <w:t xml:space="preserve">(ред. от 03.05.2024)</w:t>
            </w:r>
            <w:r>
              <w:rPr>
                <w:rFonts w:ascii="Tahoma" w:hAnsi="Tahoma" w:eastAsia="Tahoma" w:cs="Tahoma"/>
                <w:b w:val="0"/>
                <w:i w:val="0"/>
                <w:strike w:val="0"/>
                <w:sz w:val="48"/>
              </w:rPr>
              <w:br/>
            </w:r>
            <w:r>
              <w:rPr>
                <w:rFonts w:ascii="Tahoma" w:hAnsi="Tahoma" w:eastAsia="Tahoma" w:cs="Tahoma"/>
                <w:b w:val="0"/>
                <w:i w:val="0"/>
                <w:strike w:val="0"/>
                <w:sz w:val="48"/>
              </w:rPr>
              <w:t xml:space="preserve">"О грантах победителям конкурса проектов, инициируемых жителями муниципальных образований Приморского края, по решению вопросов местного значения"</w:t>
            </w:r>
            <w:r>
              <w:rPr>
                <w:rFonts w:ascii="Tahoma" w:hAnsi="Tahoma" w:eastAsia="Tahoma" w:cs="Tahoma"/>
                <w:b w:val="0"/>
                <w:i w:val="0"/>
                <w:strike w:val="0"/>
                <w:sz w:val="48"/>
              </w:rPr>
              <w:br/>
            </w:r>
            <w:r>
              <w:rPr>
                <w:rFonts w:ascii="Tahoma" w:hAnsi="Tahoma" w:eastAsia="Tahoma" w:cs="Tahoma"/>
                <w:b w:val="0"/>
                <w:i w:val="0"/>
                <w:strike w:val="0"/>
                <w:sz w:val="48"/>
              </w:rPr>
              <w:t xml:space="preserve">(вместе с "Порядком проведения конкурса проектов...", "Порядком предоставления и распределения иных межбюджетных трансфертов...")</w:t>
            </w:r>
          </w:p>
        </w:tc>
      </w:tr>
      <w:tr>
        <w:trPr>
          <w:trHeight w:val="2791" w:hRule="exact"/>
        </w:trPr>
        <w:tc>
          <w:tcPr>
            <w:tcW w:w="10207" w:type="dxa"/>
            <w:tcMar>
              <w:left w:w="80" w:type="dxa"/>
              <w:top w:w="60" w:type="dxa"/>
              <w:right w:w="80" w:type="dxa"/>
              <w:bottom w:w="60" w:type="dxa"/>
            </w:tcMar>
            <w:vAlign w:val="center"/>
          </w:tcPr>
          <w:p>
            <w:pPr>
              <w:pStyle w:val="Style_5"/>
              <w:spacing w:before="0" w:after="0" w:line="240" w:lineRule="auto"/>
              <w:ind w:left="0" w:firstLine="0"/>
              <w:jc w:val="center"/>
              <w:rPr>
                <w:rFonts w:ascii="Tahoma" w:hAnsi="Tahoma" w:eastAsia="Tahoma" w:cs="Tahoma"/>
                <w:b w:val="0"/>
                <w:i w:val="0"/>
                <w:strike w:val="0"/>
                <w:sz w:val="28"/>
              </w:rPr>
            </w:pPr>
            <w:r>
              <w:rPr>
                <w:rFonts w:ascii="Tahoma" w:hAnsi="Tahoma" w:eastAsia="Tahoma" w:cs="Tahoma"/>
                <w:b w:val="0"/>
                <w:i w:val="0"/>
                <w:strike w:val="0"/>
                <w:sz w:val="28"/>
              </w:rPr>
              <w:t xml:space="preserve">Документ предоставлен </w:t>
            </w:r>
            <w:hyperlink r:id="rId11">
              <w:r>
                <w:rPr>
                  <w:rFonts w:ascii="Tahoma" w:hAnsi="Tahoma" w:eastAsia="Tahoma" w:cs="Tahoma"/>
                  <w:b/>
                  <w:i w:val="0"/>
                  <w:strike w:val="0"/>
                  <w:color w:val="0000ff"/>
                  <w:sz w:val="28"/>
                </w:rPr>
                <w:t xml:space="preserve">КонсультантПлюс</w:t>
              </w:r>
              <w:r>
                <w:rPr>
                  <w:rFonts w:ascii="Tahoma" w:hAnsi="Tahoma" w:eastAsia="Tahoma" w:cs="Tahoma"/>
                  <w:b/>
                  <w:i w:val="0"/>
                  <w:strike w:val="0"/>
                  <w:color w:val="0000ff"/>
                  <w:sz w:val="28"/>
                </w:rPr>
                <w:br/>
              </w:r>
              <w:r>
                <w:rPr>
                  <w:rFonts w:ascii="Tahoma" w:hAnsi="Tahoma" w:eastAsia="Tahoma" w:cs="Tahoma"/>
                  <w:b/>
                  <w:i w:val="0"/>
                  <w:strike w:val="0"/>
                  <w:color w:val="0000ff"/>
                  <w:sz w:val="28"/>
                </w:rPr>
                <w:br/>
              </w:r>
            </w:hyperlink>
            <w:hyperlink r:id="rId12">
              <w:r>
                <w:rPr>
                  <w:rFonts w:ascii="Tahoma" w:hAnsi="Tahoma" w:eastAsia="Tahoma" w:cs="Tahoma"/>
                  <w:b/>
                  <w:i w:val="0"/>
                  <w:strike w:val="0"/>
                  <w:color w:val="0000ff"/>
                  <w:sz w:val="28"/>
                </w:rPr>
                <w:t xml:space="preserve">www.consultant.ru</w:t>
              </w:r>
            </w:hyperlink>
            <w:r>
              <w:rPr>
                <w:rFonts w:ascii="Tahoma" w:hAnsi="Tahoma" w:eastAsia="Tahoma" w:cs="Tahoma"/>
                <w:b w:val="0"/>
                <w:i w:val="0"/>
                <w:strike w:val="0"/>
                <w:sz w:val="28"/>
              </w:rPr>
              <w:br/>
            </w:r>
            <w:r>
              <w:rPr>
                <w:rFonts w:ascii="Tahoma" w:hAnsi="Tahoma" w:eastAsia="Tahoma" w:cs="Tahoma"/>
                <w:b w:val="0"/>
                <w:i w:val="0"/>
                <w:strike w:val="0"/>
                <w:sz w:val="28"/>
              </w:rPr>
              <w:br/>
            </w:r>
            <w:r>
              <w:rPr>
                <w:rFonts w:ascii="Tahoma" w:hAnsi="Tahoma" w:eastAsia="Tahoma" w:cs="Tahoma"/>
                <w:b w:val="0"/>
                <w:i w:val="0"/>
                <w:strike w:val="0"/>
                <w:sz w:val="28"/>
              </w:rPr>
              <w:t xml:space="preserve">Дата сохранения: 31.01.2025</w:t>
            </w:r>
            <w:r>
              <w:rPr>
                <w:rFonts w:ascii="Tahoma" w:hAnsi="Tahoma" w:eastAsia="Tahoma" w:cs="Tahoma"/>
                <w:b w:val="0"/>
                <w:i w:val="0"/>
                <w:strike w:val="0"/>
                <w:sz w:val="28"/>
              </w:rPr>
              <w:br/>
            </w:r>
            <w:r>
              <w:rPr>
                <w:rFonts w:ascii="Tahoma" w:hAnsi="Tahoma" w:eastAsia="Tahoma" w:cs="Tahoma"/>
                <w:b w:val="0"/>
                <w:i w:val="0"/>
                <w:strike w:val="0"/>
                <w:sz w:val="28"/>
              </w:rPr>
              <w:t xml:space="preserve"> </w:t>
            </w:r>
          </w:p>
        </w:tc>
      </w:tr>
    </w:tbl>
    <w:p>
      <w:pPr>
        <w:pStyle w:val="Style_0"/>
        <w:spacing w:before="0" w:after="0" w:line="240" w:lineRule="auto"/>
        <w:ind w:left="0" w:firstLine="0"/>
        <w:jc w:val="both"/>
        <w:outlineLvl w:val="0"/>
        <w:rPr>
          <w:rFonts w:ascii="Times New Roman" w:hAnsi="Times New Roman" w:eastAsia="Times New Roman" w:cs="Times New Roman"/>
          <w:b w:val="0"/>
          <w:i w:val="0"/>
          <w:strike w:val="0"/>
          <w:sz w:val="24"/>
        </w:rPr>
      </w:pPr>
    </w:p>
    <w:p>
      <w:pPr>
        <w:sectPr>
          <w:type w:val="nextPage"/>
          <w:pgSz w:w="11906" w:h="16838"/>
          <w:pgMar w:top="1440" w:right="566" w:bottom="1440" w:left="1133" w:header="0" w:footer="0" w:gutter="0"/>
          <w:cols w:num="1" w:space="720"/>
          <w:docGrid w:linePitch="360"/>
        </w:sectPr>
      </w:pPr>
    </w:p>
    <w:p>
      <w:pPr>
        <w:pStyle w:val="Style_0"/>
        <w:spacing w:before="0" w:after="0" w:line="240" w:lineRule="auto"/>
        <w:ind w:left="0" w:firstLine="0"/>
        <w:jc w:val="both"/>
        <w:outlineLvl w:val="0"/>
        <w:rPr>
          <w:rFonts w:ascii="Times New Roman" w:hAnsi="Times New Roman" w:eastAsia="Times New Roman" w:cs="Times New Roman"/>
          <w:b w:val="0"/>
          <w:i w:val="0"/>
          <w:strike w:val="0"/>
          <w:sz w:val="24"/>
        </w:rPr>
      </w:pPr>
    </w:p>
    <w:p>
      <w:pPr>
        <w:pStyle w:val="Style_2"/>
        <w:spacing w:before="0" w:after="0" w:line="240" w:lineRule="auto"/>
        <w:ind w:left="0" w:firstLine="0"/>
        <w:jc w:val="center"/>
        <w:outlineLvl w:val="0"/>
        <w:rPr>
          <w:rFonts w:ascii="Arial" w:hAnsi="Arial" w:eastAsia="Arial" w:cs="Arial"/>
          <w:b/>
          <w:i w:val="0"/>
          <w:strike w:val="0"/>
          <w:sz w:val="24"/>
        </w:rPr>
      </w:pPr>
      <w:r>
        <w:rPr>
          <w:rFonts w:ascii="Arial" w:hAnsi="Arial" w:eastAsia="Arial" w:cs="Arial"/>
          <w:b/>
          <w:i w:val="0"/>
          <w:strike w:val="0"/>
          <w:sz w:val="24"/>
        </w:rPr>
        <w:t xml:space="preserve">АДМИНИСТРАЦИЯ ПРИМОРСКОГО КРАЯ</w:t>
      </w:r>
    </w:p>
    <w:p>
      <w:pPr>
        <w:pStyle w:val="Style_2"/>
        <w:spacing w:before="0" w:after="0" w:line="240" w:lineRule="auto"/>
        <w:ind w:left="0" w:firstLine="0"/>
        <w:jc w:val="both"/>
        <w:rPr>
          <w:rFonts w:ascii="Arial" w:hAnsi="Arial" w:eastAsia="Arial" w:cs="Arial"/>
          <w:b/>
          <w:i w:val="0"/>
          <w:strike w:val="0"/>
          <w:sz w:val="24"/>
        </w:rPr>
      </w:pP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ПОСТАНОВЛЕНИЕ</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от 21 марта 2019 г. N 170-па</w:t>
      </w:r>
    </w:p>
    <w:p>
      <w:pPr>
        <w:pStyle w:val="Style_2"/>
        <w:spacing w:before="0" w:after="0" w:line="240" w:lineRule="auto"/>
        <w:ind w:left="0" w:firstLine="0"/>
        <w:jc w:val="both"/>
        <w:rPr>
          <w:rFonts w:ascii="Arial" w:hAnsi="Arial" w:eastAsia="Arial" w:cs="Arial"/>
          <w:b/>
          <w:i w:val="0"/>
          <w:strike w:val="0"/>
          <w:sz w:val="24"/>
        </w:rPr>
      </w:pP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О ГРАНТАХ ПОБЕДИТЕЛЯМ КОНКУРСА ПРОЕКТОВ,</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ИНИЦИИРУЕМЫХ ЖИТЕЛЯМИ МУНИЦИПАЛЬНЫХ ОБРАЗОВАНИЙ</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ПРИМОРСКОГО КРАЯ, ПО РЕШЕНИЮ ВОПРОСОВ МЕСТНОГО ЗНАЧЕНИЯ</w:t>
      </w:r>
    </w:p>
    <w:p>
      <w:pPr>
        <w:spacing w:before="0" w:after="0" w:line="240" w:lineRule="auto"/>
        <w:jc w:val="left"/>
        <w:rPr>
          <w:sz w:val="24"/>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fill="f4f3f8"/>
        <w:tblLayout w:type="autofit"/>
        <w:tblCellMar>
          <w:left w:w="0" w:type="dxa"/>
          <w:right w:w="0" w:type="dxa"/>
        </w:tblCellMar>
      </w:tblPr>
      <w:tblGrid>
        <w:gridCol w:w="60"/>
        <w:gridCol w:w="113"/>
        <w:gridCol w:w="9921"/>
        <w:gridCol w:w="113"/>
      </w:tblGrid>
      <w:tr>
        <w:tc>
          <w:tcPr>
            <w:tcW w:w="60" w:type="dxa"/>
            <w:shd w:val="clear" w:fill="ced3f1"/>
            <w:tcMar>
              <w:left w:w="0" w:type="dxa"/>
              <w:top w:w="0" w:type="dxa"/>
              <w:right w:w="0" w:type="dxa"/>
              <w:bottom w:w="0" w:type="dxa"/>
            </w:tcMar>
            <w:vAlign w:val="top"/>
          </w:tcPr>
          <w:p>
            <w:pPr>
              <w:spacing w:before="0" w:after="0" w:line="240" w:lineRule="auto"/>
              <w:jc w:val="left"/>
              <w:rPr>
                <w:sz w:val="24"/>
              </w:rPr>
            </w:pPr>
          </w:p>
        </w:tc>
        <w:tc>
          <w:tcPr>
            <w:tcW w:w="113" w:type="dxa"/>
            <w:shd w:val="clear" w:fill="f4f3f8"/>
            <w:tcMar>
              <w:left w:w="0" w:type="dxa"/>
              <w:top w:w="0" w:type="dxa"/>
              <w:right w:w="0" w:type="dxa"/>
              <w:bottom w:w="0" w:type="dxa"/>
            </w:tcMar>
            <w:vAlign w:val="top"/>
          </w:tcPr>
          <w:p>
            <w:pPr>
              <w:spacing w:before="0" w:after="0" w:line="240" w:lineRule="auto"/>
              <w:jc w:val="left"/>
              <w:rPr>
                <w:sz w:val="24"/>
              </w:rPr>
            </w:pPr>
          </w:p>
        </w:tc>
        <w:tc>
          <w:tcPr>
            <w:tcW w:w="9921" w:type="dxa"/>
            <w:shd w:val="clear" w:fill="f4f3f8"/>
            <w:tcMar>
              <w:left w:w="0" w:type="dxa"/>
              <w:top w:w="113" w:type="dxa"/>
              <w:right w:w="0" w:type="dxa"/>
              <w:bottom w:w="113"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Список изменяющих документов</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(в ред. Постановления Администрации Приморского края</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30.10.2019 N 705-па,</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Постановлений Правительства Приморского края</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31.03.2020 N 272-пп, от 15.02.2022 N 74-пп,</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02.12.2022 N 820-пп, от 24.05.2023 N 343-пп,</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11.01.2024 N 4-пп, от 03.05.2024 N 293-пп)</w:t>
            </w:r>
          </w:p>
        </w:tc>
        <w:tc>
          <w:tcPr>
            <w:tcW w:w="113" w:type="dxa"/>
            <w:shd w:val="clear" w:fill="f4f3f8"/>
            <w:tcMar>
              <w:left w:w="0" w:type="dxa"/>
              <w:top w:w="0" w:type="dxa"/>
              <w:right w:w="0" w:type="dxa"/>
              <w:bottom w:w="0"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 основании Устава Приморского края, в соответствии с Законом Приморского края от 2 августа 2005 года N 271-КЗ "О бюджетном устройстве, бюджетном процессе и межбюджетных отношениях в Приморском крае" Администрация Приморского края постановляет:</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 Проводить с 2019 года конкурс проектов, инициируемых жителями муниципальных образований Приморского края, по решению вопросов местного значения в целях предоставления его победителям грантов за счет средств краевого бюджета.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 Установить, что с 2019 года бюджетам муниципальных образований Приморского края из краевого бюджета предоставляются иные межбюджетные трансферты на гранты в целях поддержки проектов, инициируемых жителями муниципальных образований Приморского края, по решению вопросов местного значения.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02.12.2022 N 820-пп)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3. Утвердить прилагаемые:</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3.1. </w:t>
      </w:r>
      <w:hyperlink>
        <w:r>
          <w:rPr>
            <w:rFonts w:ascii="Times New Roman" w:hAnsi="Times New Roman" w:eastAsia="Times New Roman" w:cs="Times New Roman"/>
            <w:b w:val="0"/>
            <w:i w:val="0"/>
            <w:strike w:val="0"/>
            <w:color w:val="0000ff"/>
            <w:sz w:val="24"/>
          </w:rPr>
          <w:t xml:space="preserve">Порядок</w:t>
        </w:r>
      </w:hyperlink>
      <w:r>
        <w:rPr>
          <w:rFonts w:ascii="Times New Roman" w:hAnsi="Times New Roman" w:eastAsia="Times New Roman" w:cs="Times New Roman"/>
          <w:b w:val="0"/>
          <w:i w:val="0"/>
          <w:strike w:val="0"/>
          <w:sz w:val="24"/>
        </w:rPr>
        <w:t xml:space="preserve"> проведения конкурса проектов, инициируемых жителями муниципальных образований Приморского края, по решению вопросов местного значения.</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3.2. </w:t>
      </w:r>
      <w:hyperlink>
        <w:r>
          <w:rPr>
            <w:rFonts w:ascii="Times New Roman" w:hAnsi="Times New Roman" w:eastAsia="Times New Roman" w:cs="Times New Roman"/>
            <w:b w:val="0"/>
            <w:i w:val="0"/>
            <w:strike w:val="0"/>
            <w:color w:val="0000ff"/>
            <w:sz w:val="24"/>
          </w:rPr>
          <w:t xml:space="preserve">Правила</w:t>
        </w:r>
      </w:hyperlink>
      <w:r>
        <w:rPr>
          <w:rFonts w:ascii="Times New Roman" w:hAnsi="Times New Roman" w:eastAsia="Times New Roman" w:cs="Times New Roman"/>
          <w:b w:val="0"/>
          <w:i w:val="0"/>
          <w:strike w:val="0"/>
          <w:sz w:val="24"/>
        </w:rPr>
        <w:t xml:space="preserve"> предоставления и распределения иных межбюджетных трансфертов бюджетам муниципальных образований Приморского края в целях поддержки проектов, инициируемых жителями муниципальных образований Приморского края, по решению вопросов местного значения.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4. Департаменту информационной политики Приморского края обеспечить официальное опубликование настоящего постановления и освещение проведения конкурса проектов, инициируемых жителями муниципальных образований Приморского края, по решению вопросов местного значения в средствах массовой информации.</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Губернатор края -</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Глава Администрации</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Приморского края</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О.Н.КОЖЕМЯКО</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outlineLvl w:val="0"/>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Утвержден</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постановлением</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Администрации</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Приморского края</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от 21.03.2019 N 170-па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2"/>
        <w:spacing w:before="0" w:after="0" w:line="240" w:lineRule="auto"/>
        <w:ind w:left="0" w:firstLine="0"/>
        <w:jc w:val="center"/>
        <w:rPr>
          <w:rFonts w:ascii="Arial" w:hAnsi="Arial" w:eastAsia="Arial" w:cs="Arial"/>
          <w:b/>
          <w:i w:val="0"/>
          <w:strike w:val="0"/>
          <w:sz w:val="24"/>
        </w:rPr>
      </w:pPr>
      <w:bookmarkStart w:id="1" w:name="Par42"/>
      <w:bookmarkEnd w:id="1"/>
      <w:r>
        <w:rPr>
          <w:rFonts w:ascii="Arial" w:hAnsi="Arial" w:eastAsia="Arial" w:cs="Arial"/>
          <w:b/>
          <w:i w:val="0"/>
          <w:strike w:val="0"/>
          <w:sz w:val="24"/>
        </w:rPr>
        <w:t xml:space="preserve">ПОРЯДОК</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ПРОВЕДЕНИЯ КОНКУРСА ПРОЕКТОВ, ИНИЦИИРУЕМЫХ ЖИТЕЛЯМИ</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МУНИЦИПАЛЬНЫХ ОБРАЗОВАНИЙ ПРИМОРСКОГО КРАЯ,</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ПО РЕШЕНИЮ ВОПРОСОВ МЕСТНОГО ЗНАЧЕНИЯ</w:t>
      </w:r>
    </w:p>
    <w:p>
      <w:pPr>
        <w:spacing w:before="0" w:after="0" w:line="240" w:lineRule="auto"/>
        <w:jc w:val="left"/>
        <w:rPr>
          <w:sz w:val="24"/>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fill="f4f3f8"/>
        <w:tblLayout w:type="autofit"/>
        <w:tblCellMar>
          <w:left w:w="0" w:type="dxa"/>
          <w:right w:w="0" w:type="dxa"/>
        </w:tblCellMar>
      </w:tblPr>
      <w:tblGrid>
        <w:gridCol w:w="60"/>
        <w:gridCol w:w="113"/>
        <w:gridCol w:w="9921"/>
        <w:gridCol w:w="113"/>
      </w:tblGrid>
      <w:tr>
        <w:tc>
          <w:tcPr>
            <w:tcW w:w="60" w:type="dxa"/>
            <w:shd w:val="clear" w:fill="ced3f1"/>
            <w:tcMar>
              <w:left w:w="0" w:type="dxa"/>
              <w:top w:w="0" w:type="dxa"/>
              <w:right w:w="0" w:type="dxa"/>
              <w:bottom w:w="0" w:type="dxa"/>
            </w:tcMar>
            <w:vAlign w:val="top"/>
          </w:tcPr>
          <w:p>
            <w:pPr>
              <w:spacing w:before="0" w:after="0" w:line="240" w:lineRule="auto"/>
              <w:jc w:val="left"/>
              <w:rPr>
                <w:sz w:val="24"/>
              </w:rPr>
            </w:pPr>
          </w:p>
        </w:tc>
        <w:tc>
          <w:tcPr>
            <w:tcW w:w="113" w:type="dxa"/>
            <w:shd w:val="clear" w:fill="f4f3f8"/>
            <w:tcMar>
              <w:left w:w="0" w:type="dxa"/>
              <w:top w:w="0" w:type="dxa"/>
              <w:right w:w="0" w:type="dxa"/>
              <w:bottom w:w="0" w:type="dxa"/>
            </w:tcMar>
            <w:vAlign w:val="top"/>
          </w:tcPr>
          <w:p>
            <w:pPr>
              <w:spacing w:before="0" w:after="0" w:line="240" w:lineRule="auto"/>
              <w:jc w:val="left"/>
              <w:rPr>
                <w:sz w:val="24"/>
              </w:rPr>
            </w:pPr>
          </w:p>
        </w:tc>
        <w:tc>
          <w:tcPr>
            <w:tcW w:w="9921" w:type="dxa"/>
            <w:shd w:val="clear" w:fill="f4f3f8"/>
            <w:tcMar>
              <w:left w:w="0" w:type="dxa"/>
              <w:top w:w="113" w:type="dxa"/>
              <w:right w:w="0" w:type="dxa"/>
              <w:bottom w:w="113"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Список изменяющих документов</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(в ред. Постановлений Правительства Приморского края</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31.03.2020 N 272-пп, от 15.02.2022 N 74-пп,</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02.12.2022 N 820-пп, от 24.05.2023 N 343-пп,</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11.01.2024 N 4-пп, от 03.05.2024 N 293-пп)</w:t>
            </w:r>
          </w:p>
        </w:tc>
        <w:tc>
          <w:tcPr>
            <w:tcW w:w="113" w:type="dxa"/>
            <w:shd w:val="clear" w:fill="f4f3f8"/>
            <w:tcMar>
              <w:left w:w="0" w:type="dxa"/>
              <w:top w:w="0" w:type="dxa"/>
              <w:right w:w="0" w:type="dxa"/>
              <w:bottom w:w="0"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2"/>
        <w:spacing w:before="0" w:after="0" w:line="240" w:lineRule="auto"/>
        <w:ind w:left="0" w:firstLine="0"/>
        <w:jc w:val="center"/>
        <w:outlineLvl w:val="1"/>
        <w:rPr>
          <w:rFonts w:ascii="Arial" w:hAnsi="Arial" w:eastAsia="Arial" w:cs="Arial"/>
          <w:b/>
          <w:i w:val="0"/>
          <w:strike w:val="0"/>
          <w:sz w:val="24"/>
        </w:rPr>
      </w:pPr>
      <w:r>
        <w:rPr>
          <w:rFonts w:ascii="Arial" w:hAnsi="Arial" w:eastAsia="Arial" w:cs="Arial"/>
          <w:b/>
          <w:i w:val="0"/>
          <w:strike w:val="0"/>
          <w:sz w:val="24"/>
        </w:rPr>
        <w:t xml:space="preserve">I. ОБЩИЕ ПОЛОЖЕНИЯ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1.1. Настоящий Порядок определяет цели, задачи, условия и порядок проведения конкурса проектов, инициируемых жителями муниципальных образований Приморского края, по решению вопросов местного значения (далее соответственно - конкурс, проект), а также критерии оценки проектов, направленных на развитие местного самоуправления, в том числе создание условий для развития территориального общественного самоуправления (далее - ТОС), в целях поддержки проектов посредством предоставления из краевого бюджета бюджетам муниципальных образований Приморского края иных межбюджетных трансфертов на гранты.</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02.12.2022 N 820-пп)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 участию в конкурсе допускаются проекты, направленные на решение вопросов местного значения муниципальных образований Приморского края.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введен Постановлением Правительства Приморского края от 15.02.2022 N 74-пп; в ред. Постановлений Правительства Приморского края от 02.12.2022 N 820-пп,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 наличии не распределенного лимита бюджетных обязательств на предоставление из краевого бюджета бюджетам муниципальных образований Приморского края иных межбюджетных трансфертов на гранты по результатам проведения конкурса проектов, направленных на решение вопросов местного значения муниципальных образований Приморского края, повторный конкурс проводится в соответствии с настоящим Порядком.</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1.2. Конкурс проводится с целью стимулирования активности граждан в самостоятельном и ответственном осуществлении собственных инициатив в сфере благоустройства территории по месту их жительства, в том числе путем создания и развития ТОС.</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1.3. Для целей настоящего Порядка используются следующие основные понятия:</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заявитель проекта - уполномоченный орган местного самоуправления муниципального образования Приморского края, принявшего решение о реализации проекта);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02.12.2022 N 820-пп,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инициаторы проектов - разработавшая проект группа граждан численностью не менее пяти человек, представляющая интересы граждан, принявших решение о создании ТОС в установленном действующим законодательством порядке, либо представляющая интересы населения, проживающего на территории ТОС, учрежденного в установленном действующим законодательством порядке (далее соответственно - инициативная группа граждан; группа граждан, представляющая интересы ТОС);</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проект - инициируемый жителями муниципальных образований Приморского края комплекс взаимосвязанных мероприятий, раскрывающий возможность решения вопросов местного значения с участием инициаторов проектов, в том числе направленных на благоустройство придомовой территории, на приобретение (установку) детских и спортивных площадок, уличных тренажеров и спортивного инвентаря, хоккейных и спортивных коробок, горок, автомобильных парковок и остановок, столбов, фонарей для освещения улиц, колодцев, скважин, памятных знаков и мемориальных досок, сцены, пешеходных мостов и дорожек (тротуаров), малых архитектурных форм, громкоговорителей, средств видеонаблюдения и связи, ограждений, лотков для отвода сточных вод, благоустройство кладбищ, парковых зон и скверов;</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исключен. - Постановление Правительства Приморского края от 15.02.2022 N 74-пп.</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2"/>
        <w:spacing w:before="0" w:after="0" w:line="240" w:lineRule="auto"/>
        <w:ind w:left="0" w:firstLine="0"/>
        <w:jc w:val="center"/>
        <w:outlineLvl w:val="1"/>
        <w:rPr>
          <w:rFonts w:ascii="Arial" w:hAnsi="Arial" w:eastAsia="Arial" w:cs="Arial"/>
          <w:b/>
          <w:i w:val="0"/>
          <w:strike w:val="0"/>
          <w:sz w:val="24"/>
        </w:rPr>
      </w:pPr>
      <w:r>
        <w:rPr>
          <w:rFonts w:ascii="Arial" w:hAnsi="Arial" w:eastAsia="Arial" w:cs="Arial"/>
          <w:b/>
          <w:i w:val="0"/>
          <w:strike w:val="0"/>
          <w:sz w:val="24"/>
        </w:rPr>
        <w:t xml:space="preserve">II. ОРГАНИЗАЦИЯ И ПРОВЕДЕНИЕ КОНКУРСА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2.1. Организацию и проведение конкурса осуществляет департамент внутренней политики Приморского края (далее - департамент).</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2.2. Конкурс проводится среди проектов, направленных на решение вопросов местного значения муниципальных образований Приморского края, разработанных инициаторами проектов.</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 2.2 в ред. Постановления Правительства Приморского края от 11.01.2024 N 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2.3. Департамент:</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объявляет конкурс и устанавливает приказом департамента сроки приема заявок на участие в конкурсе и документов, указанных в </w:t>
      </w:r>
      <w:hyperlink>
        <w:r>
          <w:rPr>
            <w:rFonts w:ascii="Times New Roman" w:hAnsi="Times New Roman" w:eastAsia="Times New Roman" w:cs="Times New Roman"/>
            <w:b w:val="0"/>
            <w:i w:val="0"/>
            <w:strike w:val="0"/>
            <w:color w:val="0000ff"/>
            <w:sz w:val="24"/>
          </w:rPr>
          <w:t xml:space="preserve">пункте 4.1</w:t>
        </w:r>
      </w:hyperlink>
      <w:r>
        <w:rPr>
          <w:rFonts w:ascii="Times New Roman" w:hAnsi="Times New Roman" w:eastAsia="Times New Roman" w:cs="Times New Roman"/>
          <w:b w:val="0"/>
          <w:i w:val="0"/>
          <w:strike w:val="0"/>
          <w:sz w:val="24"/>
        </w:rPr>
        <w:t xml:space="preserve"> настоящего Порядка (далее - заявки и прилагаемые к ним документы);</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исключен. - Постановление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осуществляет консультирование по вопросам подготовки заявок и прилагаемых к ним документов;</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осуществляет прием, регистрацию и рассмотрение заявок и прилагаемых к ним документов;</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принимает решение о допуске (отказе в допуске) проекта к участию в конкурсе;</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обеспечивает сохранность поданных заявок и прилагаемых к ним документов;</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формирует конкурсную комиссию по отбору проектов, инициируемых жителями муниципальных образований Приморского края, по решению вопросов местного значения (далее - конкурсная комиссия), в состав которой входят специалисты департамента (к работе комиссии могут привлекаться независимые эксперты, являющиеся представителями общественных организаций; положение о конкурсной комиссии и ее состав утверждаются приказом департамента);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обеспечивает работу конкурсной комиссии;</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утверждает список проектов - получателей грантов приказом департамента в соответствии с настоящим Порядком.</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введен Постановлением Правительства Приморского края от 24.05.2023 N 343-пп)</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2"/>
        <w:spacing w:before="0" w:after="0" w:line="240" w:lineRule="auto"/>
        <w:ind w:left="0" w:firstLine="0"/>
        <w:jc w:val="center"/>
        <w:outlineLvl w:val="1"/>
        <w:rPr>
          <w:rFonts w:ascii="Arial" w:hAnsi="Arial" w:eastAsia="Arial" w:cs="Arial"/>
          <w:b/>
          <w:i w:val="0"/>
          <w:strike w:val="0"/>
          <w:sz w:val="24"/>
        </w:rPr>
      </w:pPr>
      <w:r>
        <w:rPr>
          <w:rFonts w:ascii="Arial" w:hAnsi="Arial" w:eastAsia="Arial" w:cs="Arial"/>
          <w:b/>
          <w:i w:val="0"/>
          <w:strike w:val="0"/>
          <w:sz w:val="24"/>
        </w:rPr>
        <w:t xml:space="preserve">III. ТРЕБОВАНИЯ К ПРОЕКТУ</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bookmarkStart w:id="2" w:name="Par89"/>
      <w:bookmarkEnd w:id="2"/>
      <w:r>
        <w:rPr>
          <w:rFonts w:ascii="Times New Roman" w:hAnsi="Times New Roman" w:eastAsia="Times New Roman" w:cs="Times New Roman"/>
          <w:b w:val="0"/>
          <w:i w:val="0"/>
          <w:strike w:val="0"/>
          <w:sz w:val="24"/>
        </w:rPr>
        <w:t xml:space="preserve">3.1. Проект, представляемый на конкурс, должен соответствовать следующим требованиям:</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проект должен быть направлен на решение вопросов местного значения муниципального образования Приморского края;</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паспорт проекта должен быть составлен по </w:t>
      </w:r>
      <w:hyperlink>
        <w:r>
          <w:rPr>
            <w:rFonts w:ascii="Times New Roman" w:hAnsi="Times New Roman" w:eastAsia="Times New Roman" w:cs="Times New Roman"/>
            <w:b w:val="0"/>
            <w:i w:val="0"/>
            <w:strike w:val="0"/>
            <w:color w:val="0000ff"/>
            <w:sz w:val="24"/>
          </w:rPr>
          <w:t xml:space="preserve">форме</w:t>
        </w:r>
      </w:hyperlink>
      <w:r>
        <w:rPr>
          <w:rFonts w:ascii="Times New Roman" w:hAnsi="Times New Roman" w:eastAsia="Times New Roman" w:cs="Times New Roman"/>
          <w:b w:val="0"/>
          <w:i w:val="0"/>
          <w:strike w:val="0"/>
          <w:sz w:val="24"/>
        </w:rPr>
        <w:t xml:space="preserve"> согласно приложению N 1 к настоящему Порядку;</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проект должен быть реализован в течение финансового года - года предоставления гранта;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работы, осуществляемые в рамках реализации проекта, должны проводиться с соблюдением требований действующего законодательства.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введен Постановлением Правительства Приморского края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bookmarkStart w:id="3" w:name="Par95"/>
      <w:bookmarkEnd w:id="3"/>
      <w:r>
        <w:rPr>
          <w:rFonts w:ascii="Times New Roman" w:hAnsi="Times New Roman" w:eastAsia="Times New Roman" w:cs="Times New Roman"/>
          <w:b w:val="0"/>
          <w:i w:val="0"/>
          <w:strike w:val="0"/>
          <w:sz w:val="24"/>
        </w:rPr>
        <w:t xml:space="preserve">3.2. Проектом должен быть предусмотрен:</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общий объем расходов на реализацию проекта за счет всех источников финансирования, в том числе с указанием размера расходов за счет гранта, не превышающего:</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1,5 млн рублей для проектов, разработанных группой граждан, представляющей интересы ТОС, зарегистрированного в качестве юридического лица;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 млн рублей для проектов, разработанных группой граждан, представляющей интересы ТОС без регистрации юридического лица, инициативными группами граждан.</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 3.2 в ред. Постановления Правительства Приморского края от 11.01.2024 N 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3.3. Проектом может быть предусмотрен объем расходов на реализацию проекта за счет средств местного бюджета и из внебюджетных источников, в том числе:</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планируемые расходы в денежном выражении;</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безвозмездно полученные имущественные права (по их стоимостной оценке);</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безвозмездно полученные товары, работы и услуги (по их стоимостной оценке).</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 3.3 в ред. Постановления Правительства Приморского края от 11.01.2024 N 4-пп)</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2"/>
        <w:spacing w:before="0" w:after="0" w:line="240" w:lineRule="auto"/>
        <w:ind w:left="0" w:firstLine="0"/>
        <w:jc w:val="center"/>
        <w:outlineLvl w:val="1"/>
        <w:rPr>
          <w:rFonts w:ascii="Arial" w:hAnsi="Arial" w:eastAsia="Arial" w:cs="Arial"/>
          <w:b/>
          <w:i w:val="0"/>
          <w:strike w:val="0"/>
          <w:sz w:val="24"/>
        </w:rPr>
      </w:pPr>
      <w:r>
        <w:rPr>
          <w:rFonts w:ascii="Arial" w:hAnsi="Arial" w:eastAsia="Arial" w:cs="Arial"/>
          <w:b/>
          <w:i w:val="0"/>
          <w:strike w:val="0"/>
          <w:sz w:val="24"/>
        </w:rPr>
        <w:t xml:space="preserve">IV. ПОРЯДОК ПОДАЧИ ЗАЯВОК ДЛЯ УЧАСТИЯ В КОНКУРСЕ</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bookmarkStart w:id="4" w:name="Par108"/>
      <w:bookmarkEnd w:id="4"/>
      <w:r>
        <w:rPr>
          <w:rFonts w:ascii="Times New Roman" w:hAnsi="Times New Roman" w:eastAsia="Times New Roman" w:cs="Times New Roman"/>
          <w:b w:val="0"/>
          <w:i w:val="0"/>
          <w:strike w:val="0"/>
          <w:sz w:val="24"/>
        </w:rPr>
        <w:t xml:space="preserve">4.1. Для участия в конкурсе заявитель проекта представляет в департамент следующие документы:</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заявку на участие в конкурсе по </w:t>
      </w:r>
      <w:hyperlink>
        <w:r>
          <w:rPr>
            <w:rFonts w:ascii="Times New Roman" w:hAnsi="Times New Roman" w:eastAsia="Times New Roman" w:cs="Times New Roman"/>
            <w:b w:val="0"/>
            <w:i w:val="0"/>
            <w:strike w:val="0"/>
            <w:color w:val="0000ff"/>
            <w:sz w:val="24"/>
          </w:rPr>
          <w:t xml:space="preserve">форме</w:t>
        </w:r>
      </w:hyperlink>
      <w:r>
        <w:rPr>
          <w:rFonts w:ascii="Times New Roman" w:hAnsi="Times New Roman" w:eastAsia="Times New Roman" w:cs="Times New Roman"/>
          <w:b w:val="0"/>
          <w:i w:val="0"/>
          <w:strike w:val="0"/>
          <w:sz w:val="24"/>
        </w:rPr>
        <w:t xml:space="preserve"> согласно приложению N 2 к настоящему Порядку;</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проект, соответствующий требованиям </w:t>
      </w:r>
      <w:hyperlink>
        <w:r>
          <w:rPr>
            <w:rFonts w:ascii="Times New Roman" w:hAnsi="Times New Roman" w:eastAsia="Times New Roman" w:cs="Times New Roman"/>
            <w:b w:val="0"/>
            <w:i w:val="0"/>
            <w:strike w:val="0"/>
            <w:color w:val="0000ff"/>
            <w:sz w:val="24"/>
          </w:rPr>
          <w:t xml:space="preserve">пунктов 3.1</w:t>
        </w:r>
      </w:hyperlink>
      <w:r>
        <w:rPr>
          <w:rFonts w:ascii="Times New Roman" w:hAnsi="Times New Roman" w:eastAsia="Times New Roman" w:cs="Times New Roman"/>
          <w:b w:val="0"/>
          <w:i w:val="0"/>
          <w:strike w:val="0"/>
          <w:sz w:val="24"/>
        </w:rPr>
        <w:t xml:space="preserve">, </w:t>
      </w:r>
      <w:hyperlink>
        <w:r>
          <w:rPr>
            <w:rFonts w:ascii="Times New Roman" w:hAnsi="Times New Roman" w:eastAsia="Times New Roman" w:cs="Times New Roman"/>
            <w:b w:val="0"/>
            <w:i w:val="0"/>
            <w:strike w:val="0"/>
            <w:color w:val="0000ff"/>
            <w:sz w:val="24"/>
          </w:rPr>
          <w:t xml:space="preserve">3.2</w:t>
        </w:r>
      </w:hyperlink>
      <w:r>
        <w:rPr>
          <w:rFonts w:ascii="Times New Roman" w:hAnsi="Times New Roman" w:eastAsia="Times New Roman" w:cs="Times New Roman"/>
          <w:b w:val="0"/>
          <w:i w:val="0"/>
          <w:strike w:val="0"/>
          <w:sz w:val="24"/>
        </w:rPr>
        <w:t xml:space="preserve"> настоящего Порядка;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копию муниципального правового акта, устанавливающего расходное обязательство муниципального образования Приморского края, на исполнение которого направляются средства гранта;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смета расходов на реализацию проекта по </w:t>
      </w:r>
      <w:hyperlink>
        <w:r>
          <w:rPr>
            <w:rFonts w:ascii="Times New Roman" w:hAnsi="Times New Roman" w:eastAsia="Times New Roman" w:cs="Times New Roman"/>
            <w:b w:val="0"/>
            <w:i w:val="0"/>
            <w:strike w:val="0"/>
            <w:color w:val="0000ff"/>
            <w:sz w:val="24"/>
          </w:rPr>
          <w:t xml:space="preserve">форме</w:t>
        </w:r>
      </w:hyperlink>
      <w:r>
        <w:rPr>
          <w:rFonts w:ascii="Times New Roman" w:hAnsi="Times New Roman" w:eastAsia="Times New Roman" w:cs="Times New Roman"/>
          <w:b w:val="0"/>
          <w:i w:val="0"/>
          <w:strike w:val="0"/>
          <w:sz w:val="24"/>
        </w:rPr>
        <w:t xml:space="preserve"> согласно приложению N 5 к настоящему Порядку;</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введен Постановлением Правительства Приморского края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документы, обосновывающие объем расходов на реализацию проекта, сметы, коммерческие предложения, сведения о рыночной стоимости товаров, работ, услуг на момент подачи конкурсной заявки, в том числе соответствующая информация из открытых источников;</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случае если инициатором проекта является группа граждан, представляющая интересы ТОС, - копию решения представительного органа муниципального образования об установлении границ ТОС; копию устава ТОС с отметкой о его регистрации уполномоченным органом местного самоуправления муниципального образования либо заверенную уполномоченным органом местного самоуправления муниципального образования выписку из реестра регистрации уставов; сведения о государственной регистрации ТОС в качестве юридического лица (при наличии);</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11.01.2024 N 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случае если инициатором проекта является инициативная группа граждан - принятое в установленном действующим законодательством порядке решение о создании ТОС; протокол собрания или конференции граждан, принявших решение о создании ТОС, содержащий решение о внесении проекта с указанием председателя инициативной группы граждан, уполномоченного представлять интересы граждан, принявших решение о создании ТОС, на всех этапах проведения конкурса;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hyperlink>
        <w:r>
          <w:rPr>
            <w:rFonts w:ascii="Times New Roman" w:hAnsi="Times New Roman" w:eastAsia="Times New Roman" w:cs="Times New Roman"/>
            <w:b w:val="0"/>
            <w:i w:val="0"/>
            <w:strike w:val="0"/>
            <w:color w:val="0000ff"/>
            <w:sz w:val="24"/>
          </w:rPr>
          <w:t xml:space="preserve">согласие</w:t>
        </w:r>
      </w:hyperlink>
      <w:r>
        <w:rPr>
          <w:rFonts w:ascii="Times New Roman" w:hAnsi="Times New Roman" w:eastAsia="Times New Roman" w:cs="Times New Roman"/>
          <w:b w:val="0"/>
          <w:i w:val="0"/>
          <w:strike w:val="0"/>
          <w:sz w:val="24"/>
        </w:rPr>
        <w:t xml:space="preserve"> на обработку персональных данных председателя ТОС, председателя инициативной группы граждан по форме согласно приложению N 4 к настоящему Порядку;</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введен Постановлением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фотографии текущего состояния объекта(ов), на котором(ых) предусмотрено проведение работ в рамках реализации проекта, и (или) планируемого(ых) к приобретению объекта(ов) в рамках реализации проекта;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введен Постановлением Правительства Приморского края от 11.01.2024 N 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заключение заявителя проекта о возможности реализации проекта(ов) на территории муниципального образования.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введен Постановлением Правительства Приморского края от 11.01.2024 N 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bookmarkStart w:id="5" w:name="Par125"/>
      <w:bookmarkEnd w:id="5"/>
      <w:r>
        <w:rPr>
          <w:rFonts w:ascii="Times New Roman" w:hAnsi="Times New Roman" w:eastAsia="Times New Roman" w:cs="Times New Roman"/>
          <w:b w:val="0"/>
          <w:i w:val="0"/>
          <w:strike w:val="0"/>
          <w:sz w:val="24"/>
        </w:rPr>
        <w:t xml:space="preserve">4.2. Документы, указанные в </w:t>
      </w:r>
      <w:hyperlink>
        <w:r>
          <w:rPr>
            <w:rFonts w:ascii="Times New Roman" w:hAnsi="Times New Roman" w:eastAsia="Times New Roman" w:cs="Times New Roman"/>
            <w:b w:val="0"/>
            <w:i w:val="0"/>
            <w:strike w:val="0"/>
            <w:color w:val="0000ff"/>
            <w:sz w:val="24"/>
          </w:rPr>
          <w:t xml:space="preserve">пункте 4.1</w:t>
        </w:r>
      </w:hyperlink>
      <w:r>
        <w:rPr>
          <w:rFonts w:ascii="Times New Roman" w:hAnsi="Times New Roman" w:eastAsia="Times New Roman" w:cs="Times New Roman"/>
          <w:b w:val="0"/>
          <w:i w:val="0"/>
          <w:strike w:val="0"/>
          <w:sz w:val="24"/>
        </w:rPr>
        <w:t xml:space="preserve"> настоящего Порядка, должны быть прошиты, пронумерованы, удостоверены печатью заявителя проекта.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4.3. Председатель инициативной группы, председатель ТОС, заявитель проекта несут ответственность за достоверность сведений, содержащихся в представленных документах.</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4.4. Информация о проведении конкурса размещается на странице департамента на официальном сайте Правительства Приморского края и органов исполнительной власти Приморского края в информационно-телекоммуникационной сети Интернет по адресу </w:t>
      </w:r>
      <w:hyperlink r:id="rId13">
        <w:r>
          <w:rPr>
            <w:rFonts w:ascii="Times New Roman" w:hAnsi="Times New Roman" w:eastAsia="Times New Roman" w:cs="Times New Roman"/>
            <w:b w:val="0"/>
            <w:i w:val="0"/>
            <w:strike w:val="0"/>
            <w:color w:val="0000ff"/>
            <w:sz w:val="24"/>
          </w:rPr>
          <w:t xml:space="preserve">https://primorsky.ru/authorities/executive-agencies/departments/internal-policy/</w:t>
        </w:r>
      </w:hyperlink>
      <w:r>
        <w:rPr>
          <w:rFonts w:ascii="Times New Roman" w:hAnsi="Times New Roman" w:eastAsia="Times New Roman" w:cs="Times New Roman"/>
          <w:b w:val="0"/>
          <w:i w:val="0"/>
          <w:strike w:val="0"/>
          <w:sz w:val="24"/>
        </w:rPr>
        <w:t xml:space="preserve"> (далее соответственно - информация, сайт) не менее чем за пять рабочих дней до дня начала приема заявок и прилагаемых к ним документов и должна содержать:</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15.02.2022 N 74-пп, от 02.12.2022 N 820-пп,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срок приема заявок и прилагаемых к ним документов, который не может составлять менее 10 рабочих дней;</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02.12.2022 N 820-пп,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время и место приема заявок и прилагаемых к ним документов, почтовый адрес и адрес электронной почты для направления заявок и прилагаемых к ним документов;</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контактные телефоны для получения консультаций по вопросам подготовки на конкурс заявок и прилагаемых к ним документов.</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4.5. Заявитель проекта для участия в конкурсе в срок, указанный в информации, представляет в департамент заявку и прилагаемые к ней документы в электронной форме в виде электронных образцов документов (документов на бумажном носителе, преобразованных в электронную форму путем сканирования с сохранением их реквизитов) и на бумажных носителях, отвечающих требованиям </w:t>
      </w:r>
      <w:hyperlink>
        <w:r>
          <w:rPr>
            <w:rFonts w:ascii="Times New Roman" w:hAnsi="Times New Roman" w:eastAsia="Times New Roman" w:cs="Times New Roman"/>
            <w:b w:val="0"/>
            <w:i w:val="0"/>
            <w:strike w:val="0"/>
            <w:color w:val="0000ff"/>
            <w:sz w:val="24"/>
          </w:rPr>
          <w:t xml:space="preserve">пункта 4.2</w:t>
        </w:r>
      </w:hyperlink>
      <w:r>
        <w:rPr>
          <w:rFonts w:ascii="Times New Roman" w:hAnsi="Times New Roman" w:eastAsia="Times New Roman" w:cs="Times New Roman"/>
          <w:b w:val="0"/>
          <w:i w:val="0"/>
          <w:strike w:val="0"/>
          <w:sz w:val="24"/>
        </w:rPr>
        <w:t xml:space="preserve"> настоящего Порядка.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До окончания срока приема заявок и прилагаемых к ним документов заявитель проекта вправе дополнить представленный к участию пакет документов в соответствии с требованиями </w:t>
      </w:r>
      <w:hyperlink>
        <w:r>
          <w:rPr>
            <w:rFonts w:ascii="Times New Roman" w:hAnsi="Times New Roman" w:eastAsia="Times New Roman" w:cs="Times New Roman"/>
            <w:b w:val="0"/>
            <w:i w:val="0"/>
            <w:strike w:val="0"/>
            <w:color w:val="0000ff"/>
            <w:sz w:val="24"/>
          </w:rPr>
          <w:t xml:space="preserve">пунктов 4.1</w:t>
        </w:r>
      </w:hyperlink>
      <w:r>
        <w:rPr>
          <w:rFonts w:ascii="Times New Roman" w:hAnsi="Times New Roman" w:eastAsia="Times New Roman" w:cs="Times New Roman"/>
          <w:b w:val="0"/>
          <w:i w:val="0"/>
          <w:strike w:val="0"/>
          <w:sz w:val="24"/>
        </w:rPr>
        <w:t xml:space="preserve">, </w:t>
      </w:r>
      <w:hyperlink>
        <w:r>
          <w:rPr>
            <w:rFonts w:ascii="Times New Roman" w:hAnsi="Times New Roman" w:eastAsia="Times New Roman" w:cs="Times New Roman"/>
            <w:b w:val="0"/>
            <w:i w:val="0"/>
            <w:strike w:val="0"/>
            <w:color w:val="0000ff"/>
            <w:sz w:val="24"/>
          </w:rPr>
          <w:t xml:space="preserve">4.2</w:t>
        </w:r>
      </w:hyperlink>
      <w:r>
        <w:rPr>
          <w:rFonts w:ascii="Times New Roman" w:hAnsi="Times New Roman" w:eastAsia="Times New Roman" w:cs="Times New Roman"/>
          <w:b w:val="0"/>
          <w:i w:val="0"/>
          <w:strike w:val="0"/>
          <w:sz w:val="24"/>
        </w:rPr>
        <w:t xml:space="preserve"> настоящего Порядка.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4.6. Заявитель проекта может отозвать заявку до окончания срока приема документов, указанного в информации, представив в департамент соответствующее заявление.</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4.7. На конкурс может быть представлен один проект от одной группы граждан, представляющей интересы ТОС, одной инициативной группы граждан.</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случае подачи нескольких проектов от одной группы граждан, представляющей интересы ТОС, одной инициативной группы граждан не допускаются до участия в конкурсе проекты, имеющие более поздние даты и время поступления в департамент.</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 4.7 введен Постановлением Правительства Приморского края от 11.01.2024 N 4-пп)</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2"/>
        <w:spacing w:before="0" w:after="0" w:line="240" w:lineRule="auto"/>
        <w:ind w:left="0" w:firstLine="0"/>
        <w:jc w:val="center"/>
        <w:outlineLvl w:val="1"/>
        <w:rPr>
          <w:rFonts w:ascii="Arial" w:hAnsi="Arial" w:eastAsia="Arial" w:cs="Arial"/>
          <w:b/>
          <w:i w:val="0"/>
          <w:strike w:val="0"/>
          <w:sz w:val="24"/>
        </w:rPr>
      </w:pPr>
      <w:r>
        <w:rPr>
          <w:rFonts w:ascii="Arial" w:hAnsi="Arial" w:eastAsia="Arial" w:cs="Arial"/>
          <w:b/>
          <w:i w:val="0"/>
          <w:strike w:val="0"/>
          <w:sz w:val="24"/>
        </w:rPr>
        <w:t xml:space="preserve">V. ПОРЯДОК ПРОВЕДЕНИЯ ОТБОРА ПРОЕКТОВ ДЛЯ УЧАСТИЯ В КОНКУРСЕ</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5.1. Департамент в течение 15 рабочих дней со дня окончания срока приема заявок и прилагаемых к ним документов рассматривает представленные заявки и прилагаемые к ним документы и принимает решение о допуске (об отказе в допуске) проектов к участию в конкурсе, которое оформляется приказом департамента.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Приказ департамента о допуске (об отказе в допуске) проектов к участию в конкурсе размещается на сайте в течение трех рабочих дней со дня его принятия.</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5.2. Основаниями отказа в допуске проекта к участию в конкурсе являются:</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несоответствие заявки и прилагаемых к ней документов требованиям </w:t>
      </w:r>
      <w:hyperlink>
        <w:r>
          <w:rPr>
            <w:rFonts w:ascii="Times New Roman" w:hAnsi="Times New Roman" w:eastAsia="Times New Roman" w:cs="Times New Roman"/>
            <w:b w:val="0"/>
            <w:i w:val="0"/>
            <w:strike w:val="0"/>
            <w:color w:val="0000ff"/>
            <w:sz w:val="24"/>
          </w:rPr>
          <w:t xml:space="preserve">пунктов 3.1</w:t>
        </w:r>
      </w:hyperlink>
      <w:r>
        <w:rPr>
          <w:rFonts w:ascii="Times New Roman" w:hAnsi="Times New Roman" w:eastAsia="Times New Roman" w:cs="Times New Roman"/>
          <w:b w:val="0"/>
          <w:i w:val="0"/>
          <w:strike w:val="0"/>
          <w:sz w:val="24"/>
        </w:rPr>
        <w:t xml:space="preserve">, </w:t>
      </w:r>
      <w:hyperlink>
        <w:r>
          <w:rPr>
            <w:rFonts w:ascii="Times New Roman" w:hAnsi="Times New Roman" w:eastAsia="Times New Roman" w:cs="Times New Roman"/>
            <w:b w:val="0"/>
            <w:i w:val="0"/>
            <w:strike w:val="0"/>
            <w:color w:val="0000ff"/>
            <w:sz w:val="24"/>
          </w:rPr>
          <w:t xml:space="preserve">3.2</w:t>
        </w:r>
      </w:hyperlink>
      <w:r>
        <w:rPr>
          <w:rFonts w:ascii="Times New Roman" w:hAnsi="Times New Roman" w:eastAsia="Times New Roman" w:cs="Times New Roman"/>
          <w:b w:val="0"/>
          <w:i w:val="0"/>
          <w:strike w:val="0"/>
          <w:sz w:val="24"/>
        </w:rPr>
        <w:t xml:space="preserve">, </w:t>
      </w:r>
      <w:hyperlink>
        <w:r>
          <w:rPr>
            <w:rFonts w:ascii="Times New Roman" w:hAnsi="Times New Roman" w:eastAsia="Times New Roman" w:cs="Times New Roman"/>
            <w:b w:val="0"/>
            <w:i w:val="0"/>
            <w:strike w:val="0"/>
            <w:color w:val="0000ff"/>
            <w:sz w:val="24"/>
          </w:rPr>
          <w:t xml:space="preserve">4.1</w:t>
        </w:r>
      </w:hyperlink>
      <w:r>
        <w:rPr>
          <w:rFonts w:ascii="Times New Roman" w:hAnsi="Times New Roman" w:eastAsia="Times New Roman" w:cs="Times New Roman"/>
          <w:b w:val="0"/>
          <w:i w:val="0"/>
          <w:strike w:val="0"/>
          <w:sz w:val="24"/>
        </w:rPr>
        <w:t xml:space="preserve">, </w:t>
      </w:r>
      <w:hyperlink>
        <w:r>
          <w:rPr>
            <w:rFonts w:ascii="Times New Roman" w:hAnsi="Times New Roman" w:eastAsia="Times New Roman" w:cs="Times New Roman"/>
            <w:b w:val="0"/>
            <w:i w:val="0"/>
            <w:strike w:val="0"/>
            <w:color w:val="0000ff"/>
            <w:sz w:val="24"/>
          </w:rPr>
          <w:t xml:space="preserve">4.2</w:t>
        </w:r>
      </w:hyperlink>
      <w:r>
        <w:rPr>
          <w:rFonts w:ascii="Times New Roman" w:hAnsi="Times New Roman" w:eastAsia="Times New Roman" w:cs="Times New Roman"/>
          <w:b w:val="0"/>
          <w:i w:val="0"/>
          <w:strike w:val="0"/>
          <w:sz w:val="24"/>
        </w:rPr>
        <w:t xml:space="preserve"> настоящего Порядка;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поступление заявки и прилагаемых к ней документов в департамент после окончания срока приема заявок и документов;</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представление нескольких проектов от одной группы граждан, представляющей интересы ТОС, одной инициативной группы граждан. Не допускаются до участия в конкурсе проекты, имеющие более поздние даты и время поступления в департамент.</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введен Постановлением Правительства Приморского края от 11.01.2024 N 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5.3. Департамент в срок не более пяти рабочих дней со дня принятия решения о допуске (об отказе в допуске) проекта к участию в конкурсе направляет заявителю соответствующее уведомление (с указанием причин отказа) в письменной форме либо в форме электронного документа по адресу, указанному в заявке.</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5.4. Представленные для участия в конкурсе документы заявителям проекта не возвращаются.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2"/>
        <w:spacing w:before="0" w:after="0" w:line="240" w:lineRule="auto"/>
        <w:ind w:left="0" w:firstLine="0"/>
        <w:jc w:val="center"/>
        <w:outlineLvl w:val="1"/>
        <w:rPr>
          <w:rFonts w:ascii="Arial" w:hAnsi="Arial" w:eastAsia="Arial" w:cs="Arial"/>
          <w:b/>
          <w:i w:val="0"/>
          <w:strike w:val="0"/>
          <w:sz w:val="24"/>
        </w:rPr>
      </w:pPr>
      <w:r>
        <w:rPr>
          <w:rFonts w:ascii="Arial" w:hAnsi="Arial" w:eastAsia="Arial" w:cs="Arial"/>
          <w:b/>
          <w:i w:val="0"/>
          <w:strike w:val="0"/>
          <w:sz w:val="24"/>
        </w:rPr>
        <w:t xml:space="preserve">VI. ПОРЯДОК ОЦЕНКИ ПРОЕКТОВ И ПРИНЯТИЯ РЕШЕНИЯ</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О ПРИЗНАНИИ ПРОЕКТОВ ПОБЕДИТЕЛЯМИ КОНКУРСА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6.1. В случае допуска проекта к участию в конкурсе документы, предусмотренные </w:t>
      </w:r>
      <w:hyperlink>
        <w:r>
          <w:rPr>
            <w:rFonts w:ascii="Times New Roman" w:hAnsi="Times New Roman" w:eastAsia="Times New Roman" w:cs="Times New Roman"/>
            <w:b w:val="0"/>
            <w:i w:val="0"/>
            <w:strike w:val="0"/>
            <w:color w:val="0000ff"/>
            <w:sz w:val="24"/>
          </w:rPr>
          <w:t xml:space="preserve">пунктом 4.1</w:t>
        </w:r>
      </w:hyperlink>
      <w:r>
        <w:rPr>
          <w:rFonts w:ascii="Times New Roman" w:hAnsi="Times New Roman" w:eastAsia="Times New Roman" w:cs="Times New Roman"/>
          <w:b w:val="0"/>
          <w:i w:val="0"/>
          <w:strike w:val="0"/>
          <w:sz w:val="24"/>
        </w:rPr>
        <w:t xml:space="preserve"> настоящего Порядка, в течение двух рабочих дней после принятия решения о допуске передаются департаментом на рассмотрение конкурсной комиссии.</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bookmarkStart w:id="6" w:name="Par159"/>
      <w:bookmarkEnd w:id="6"/>
      <w:r>
        <w:rPr>
          <w:rFonts w:ascii="Times New Roman" w:hAnsi="Times New Roman" w:eastAsia="Times New Roman" w:cs="Times New Roman"/>
          <w:b w:val="0"/>
          <w:i w:val="0"/>
          <w:strike w:val="0"/>
          <w:sz w:val="24"/>
        </w:rPr>
        <w:t xml:space="preserve">6.2. Конкурсная комиссия осуществляет рассмотрение проектов в срок не более 60 рабочих дней со дня их поступления.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15.02.2022 N 74-пп, от 03.05.2024 N 293-пп)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Проекты оцениваются каждым членом конкурсной комиссии посредством выставления баллов по каждому критерию, указанному в </w:t>
      </w:r>
      <w:hyperlink>
        <w:r>
          <w:rPr>
            <w:rFonts w:ascii="Times New Roman" w:hAnsi="Times New Roman" w:eastAsia="Times New Roman" w:cs="Times New Roman"/>
            <w:b w:val="0"/>
            <w:i w:val="0"/>
            <w:strike w:val="0"/>
            <w:color w:val="0000ff"/>
            <w:sz w:val="24"/>
          </w:rPr>
          <w:t xml:space="preserve">приложении N 3</w:t>
        </w:r>
      </w:hyperlink>
      <w:r>
        <w:rPr>
          <w:rFonts w:ascii="Times New Roman" w:hAnsi="Times New Roman" w:eastAsia="Times New Roman" w:cs="Times New Roman"/>
          <w:b w:val="0"/>
          <w:i w:val="0"/>
          <w:strike w:val="0"/>
          <w:sz w:val="24"/>
        </w:rPr>
        <w:t xml:space="preserve"> к настоящему Порядку.</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Результаты оценки проектов указываются в оценочном листе, заполняемом каждым членом конкурсной комиссии в отношении каждого проекта. Форма оценочного листа разрабатывается и утверждается приказом департамента.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6.3. Конкурсная комиссия по результатам оценки проектов не позднее 10 рабочих дней со дня истечения срока, указанного в </w:t>
      </w:r>
      <w:hyperlink>
        <w:r>
          <w:rPr>
            <w:rFonts w:ascii="Times New Roman" w:hAnsi="Times New Roman" w:eastAsia="Times New Roman" w:cs="Times New Roman"/>
            <w:b w:val="0"/>
            <w:i w:val="0"/>
            <w:strike w:val="0"/>
            <w:color w:val="0000ff"/>
            <w:sz w:val="24"/>
          </w:rPr>
          <w:t xml:space="preserve">абзаце первом пункта 6.2</w:t>
        </w:r>
      </w:hyperlink>
      <w:r>
        <w:rPr>
          <w:rFonts w:ascii="Times New Roman" w:hAnsi="Times New Roman" w:eastAsia="Times New Roman" w:cs="Times New Roman"/>
          <w:b w:val="0"/>
          <w:i w:val="0"/>
          <w:strike w:val="0"/>
          <w:sz w:val="24"/>
        </w:rPr>
        <w:t xml:space="preserve"> настоящего Порядка, выполняет расчет среднего балла по каждому проекту с занесением присвоенных значений средних баллов по проектам в протокол заседания конкурсной комиссии.</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Для расчета среднего балла общая сумма баллов, выставленных членами конкурсной комиссии по каждому представленному проекту, делится на число членов конкурсной комиссии.</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 основании значений средних баллов конкурсная комиссия формирует рейтинг проектов (далее - рейтинг).</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15.02.2022 N 74-пп, от 24.05.2023 N 343-пп, от 11.01.2024 N 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Наименьший порядковый номер в рейтинге присваивается проекту, набравшему наибольший средний балл, далее - в порядке убывания значения среднего балла.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случае если проекты по результатам оценки набрали одинаковое значение среднего балла, то меньший порядковый номер в рейтинге присваивается проекту, объем привлекаемых средств из внебюджетных источников финансирования которого больше (в процентах). В случае одинакового объема привлекаемых средств из внебюджетных источников финансирования меньший порядковый номер в рейтинге присваивается участнику с наиболее ранней датой подачи документов для участия в конкурсе.</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Протокол заседания конкурсной комиссии со значениями средних баллов по каждому проекту и рейтингом направляется в департамент не позднее одного рабочего дня со дня его подписания.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24.05.2023 N 343-пп, от 11.01.2024 N 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6.4. Департамент на основании полученного протокола заседания конкурсной комиссии не позднее пяти рабочих дней со дня его поступления утверждает приказом департамента список проектов - получателей грантов, сформированный в порядке убывания среднего балла рейтинга до исчерпания суммарного размера гранта, исходя из лимитов бюджетных обязательств, доведенных в установленном порядке департаменту на указанные цели в текущем финансовом году.</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 6.4 в ред. Постановления Правительства Приморского края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6.5. Утвержденный список проектов-получателей грантов размещается на сайте не позднее трех рабочих дней со дня подписания приказа департамента.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 6.5 в ред. Постановления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6.6. Исключен. - Постановление Правительства Приморского края от 15.02.2022 N 74-пп.</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outlineLvl w:val="1"/>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Приложение N 1</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 Порядку</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проведения</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конкурса проектов,</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инициируемых жителями</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муниципальных образований</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Приморского края,</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 решению вопросов</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местного значения</w:t>
      </w:r>
    </w:p>
    <w:p>
      <w:pPr>
        <w:spacing w:before="0" w:after="0" w:line="240" w:lineRule="auto"/>
        <w:jc w:val="left"/>
        <w:rPr>
          <w:sz w:val="24"/>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fill="f4f3f8"/>
        <w:tblLayout w:type="autofit"/>
        <w:tblCellMar>
          <w:left w:w="0" w:type="dxa"/>
          <w:right w:w="0" w:type="dxa"/>
        </w:tblCellMar>
      </w:tblPr>
      <w:tblGrid>
        <w:gridCol w:w="60"/>
        <w:gridCol w:w="113"/>
        <w:gridCol w:w="9921"/>
        <w:gridCol w:w="113"/>
      </w:tblGrid>
      <w:tr>
        <w:tc>
          <w:tcPr>
            <w:tcW w:w="60" w:type="dxa"/>
            <w:shd w:val="clear" w:fill="ced3f1"/>
            <w:tcMar>
              <w:left w:w="0" w:type="dxa"/>
              <w:top w:w="0" w:type="dxa"/>
              <w:right w:w="0" w:type="dxa"/>
              <w:bottom w:w="0" w:type="dxa"/>
            </w:tcMar>
            <w:vAlign w:val="top"/>
          </w:tcPr>
          <w:p>
            <w:pPr>
              <w:spacing w:before="0" w:after="0" w:line="240" w:lineRule="auto"/>
              <w:jc w:val="left"/>
              <w:rPr>
                <w:sz w:val="24"/>
              </w:rPr>
            </w:pPr>
          </w:p>
        </w:tc>
        <w:tc>
          <w:tcPr>
            <w:tcW w:w="113" w:type="dxa"/>
            <w:shd w:val="clear" w:fill="f4f3f8"/>
            <w:tcMar>
              <w:left w:w="0" w:type="dxa"/>
              <w:top w:w="0" w:type="dxa"/>
              <w:right w:w="0" w:type="dxa"/>
              <w:bottom w:w="0" w:type="dxa"/>
            </w:tcMar>
            <w:vAlign w:val="top"/>
          </w:tcPr>
          <w:p>
            <w:pPr>
              <w:spacing w:before="0" w:after="0" w:line="240" w:lineRule="auto"/>
              <w:jc w:val="left"/>
              <w:rPr>
                <w:sz w:val="24"/>
              </w:rPr>
            </w:pPr>
          </w:p>
        </w:tc>
        <w:tc>
          <w:tcPr>
            <w:tcW w:w="9921" w:type="dxa"/>
            <w:shd w:val="clear" w:fill="f4f3f8"/>
            <w:tcMar>
              <w:left w:w="0" w:type="dxa"/>
              <w:top w:w="113" w:type="dxa"/>
              <w:right w:w="0" w:type="dxa"/>
              <w:bottom w:w="113"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Список изменяющих документов</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(в ред. Постановлений Правительства Приморского края</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15.02.2022 N 74-пп, от 24.05.2023 N 343-пп)</w:t>
            </w:r>
          </w:p>
        </w:tc>
        <w:tc>
          <w:tcPr>
            <w:tcW w:w="113" w:type="dxa"/>
            <w:shd w:val="clear" w:fill="f4f3f8"/>
            <w:tcMar>
              <w:left w:w="0" w:type="dxa"/>
              <w:top w:w="0" w:type="dxa"/>
              <w:right w:w="0" w:type="dxa"/>
              <w:bottom w:w="0"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Форма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62" w:type="dxa"/>
          <w:top w:w="102" w:type="dxa"/>
          <w:right w:w="62" w:type="dxa"/>
          <w:bottom w:w="102" w:type="dxa"/>
        </w:tblCellMar>
      </w:tblPr>
      <w:tblGrid>
        <w:gridCol w:w="742"/>
        <w:gridCol w:w="1867"/>
        <w:gridCol w:w="854"/>
        <w:gridCol w:w="340"/>
        <w:gridCol w:w="461"/>
        <w:gridCol w:w="733"/>
        <w:gridCol w:w="847"/>
        <w:gridCol w:w="1121"/>
        <w:gridCol w:w="977"/>
        <w:gridCol w:w="1193"/>
      </w:tblGrid>
      <w:tr>
        <w:trPr>
          <w:jc w:val="left"/>
        </w:trPr>
        <w:tc>
          <w:tcPr>
            <w:tcW w:w="9135" w:type="dxa"/>
            <w:gridSpan w:val="10"/>
            <w:hMerge w:val="restart"/>
          </w:tcPr>
          <w:p>
            <w:pPr>
              <w:pStyle w:val="Style_0"/>
              <w:spacing w:before="0" w:after="0" w:line="240" w:lineRule="auto"/>
              <w:ind w:left="0" w:firstLine="0"/>
              <w:jc w:val="center"/>
              <w:rPr>
                <w:rFonts w:ascii="Times New Roman" w:hAnsi="Times New Roman" w:eastAsia="Times New Roman" w:cs="Times New Roman"/>
                <w:b w:val="0"/>
                <w:i w:val="0"/>
                <w:strike w:val="0"/>
                <w:sz w:val="24"/>
              </w:rPr>
            </w:pPr>
            <w:bookmarkStart w:id="7" w:name="Par198"/>
            <w:bookmarkEnd w:id="7"/>
            <w:r>
              <w:rPr>
                <w:rFonts w:ascii="Times New Roman" w:hAnsi="Times New Roman" w:eastAsia="Times New Roman" w:cs="Times New Roman"/>
                <w:b w:val="0"/>
                <w:i w:val="0"/>
                <w:strike w:val="0"/>
                <w:sz w:val="24"/>
              </w:rPr>
              <w:t xml:space="preserve">ПАСПОРТ</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проекта, инициируемого жителями муниципального образования Приморского края, по решению вопросов местного значения</w:t>
            </w:r>
          </w:p>
        </w:tc>
      </w:tr>
      <w:tr>
        <w:trPr>
          <w:jc w:val="left"/>
        </w:trPr>
        <w:tc>
          <w:tcPr>
            <w:tcW w:w="9135" w:type="dxa"/>
            <w:gridSpan w:val="10"/>
            <w:hMerge w:val="restart"/>
            <w:tcBorders>
              <w:bottom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Раздел I. ОБЩАЯ ИНФОРМАЦИЯ</w:t>
            </w:r>
          </w:p>
          <w:p>
            <w:pPr>
              <w:pStyle w:val="Style_0"/>
              <w:spacing w:before="0" w:after="0" w:line="240" w:lineRule="auto"/>
              <w:ind w:left="0" w:firstLine="0"/>
              <w:jc w:val="left"/>
              <w:rPr>
                <w:rFonts w:ascii="Times New Roman" w:hAnsi="Times New Roman" w:eastAsia="Times New Roman" w:cs="Times New Roman"/>
                <w:b w:val="0"/>
                <w:i w:val="0"/>
                <w:strike w:val="0"/>
                <w:sz w:val="24"/>
              </w:rPr>
            </w:pP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1.1. Наименование муниципального образования Приморского края.</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1.2. Численность населения, проживающего в границах территории, на которой будет осуществляться благоустройство:</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______________________________________________.</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1.3. Численность населения муниципального образования:</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______________________________________________________________________</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 наличии:</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1.4. Наименование территориального общественного самоуправления (далее - ТОС).</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1.5. Сведения о наличии (об отсутствии) регистрации ТОС в качестве юридического лица.</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1.6. Дата учреждения ТОС.</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1.7. Адрес местонахождения ТОС.</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1.8. Контактный телефон, адрес электронной почты ТОС.</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1.9. Сведения о руководителе ТОС (фамилия, имя, отчество, контактный телефон, электронная почта).</w:t>
            </w:r>
          </w:p>
          <w:p>
            <w:pPr>
              <w:pStyle w:val="Style_0"/>
              <w:spacing w:before="0" w:after="0" w:line="240" w:lineRule="auto"/>
              <w:ind w:left="0" w:firstLine="0"/>
              <w:jc w:val="left"/>
              <w:rPr>
                <w:rFonts w:ascii="Times New Roman" w:hAnsi="Times New Roman" w:eastAsia="Times New Roman" w:cs="Times New Roman"/>
                <w:b w:val="0"/>
                <w:i w:val="0"/>
                <w:strike w:val="0"/>
                <w:sz w:val="24"/>
              </w:rPr>
            </w:pP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Раздел II. СВЕДЕНИЯ О ПРОЕКТЕ</w:t>
            </w:r>
          </w:p>
          <w:p>
            <w:pPr>
              <w:pStyle w:val="Style_0"/>
              <w:spacing w:before="0" w:after="0" w:line="240" w:lineRule="auto"/>
              <w:ind w:left="0" w:firstLine="0"/>
              <w:jc w:val="left"/>
              <w:rPr>
                <w:rFonts w:ascii="Times New Roman" w:hAnsi="Times New Roman" w:eastAsia="Times New Roman" w:cs="Times New Roman"/>
                <w:b w:val="0"/>
                <w:i w:val="0"/>
                <w:strike w:val="0"/>
                <w:sz w:val="24"/>
              </w:rPr>
            </w:pP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2.1. Наименование проекта.</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2.2. Указание на территорию, в границах которой планируется реализация проекта (адрес).</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2.3. Дата начала реализации проекта.</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2.4. Дата окончания реализации проекта.</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2.5. Описание обоснованности и актуальности проблемы, на решение которой направлен проект.</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2.6. Цели проекта.</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2.7. Задачи проекта.</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2.8. Количество граждан, участвующих в реализации проекта, с указанием вида их работ.</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2.9. Доля прямых благополучателей от реализации проекта от общего количества граждан, проживающих в границах муниципального образования, части муниципального образования, ТОС (с указанием фактического значения).</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2.10. Методы решения социальных проблем, обозначенных в проекте.</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2.11. Ожидаемые результаты реализации проекта.</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 описании ожидаемых результатов реализации проекта должны указываться их специфичность (соответствие сфере реализации проекта), конкретность (не допускаются размытые (нечеткие) формулировки, допускающие произвольное или неоднозначное толкование), достижимость (ожидаемые результаты должны быть достижимы за период реализации проекта) и измеримость (достижение ожидаемых результатов от реализации проекта можно проверить).</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2.12. Сведения об устойчивости проекта и продолжении его реализации после окончания грантового финансирования.</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2.13. Календарный план работ по проекту:</w:t>
            </w:r>
          </w:p>
        </w:tc>
      </w:tr>
      <w:tr>
        <w:trPr>
          <w:jc w:val="left"/>
        </w:trPr>
        <w:tc>
          <w:tcPr>
            <w:tcW w:w="742"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N п/п</w:t>
            </w:r>
          </w:p>
        </w:tc>
        <w:tc>
          <w:tcPr>
            <w:tcW w:w="2721"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Основные этапы проекта и мероприятия</w:t>
            </w:r>
          </w:p>
        </w:tc>
        <w:tc>
          <w:tcPr>
            <w:tcW w:w="1534" w:type="dxa"/>
            <w:gridSpan w:val="3"/>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Срок реализации</w:t>
            </w:r>
          </w:p>
        </w:tc>
        <w:tc>
          <w:tcPr>
            <w:tcW w:w="1968"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Место реализации</w:t>
            </w:r>
          </w:p>
        </w:tc>
        <w:tc>
          <w:tcPr>
            <w:tcW w:w="2170"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Ответственные исполнители</w:t>
            </w:r>
          </w:p>
        </w:tc>
      </w:tr>
      <w:tr>
        <w:trPr>
          <w:jc w:val="left"/>
        </w:trPr>
        <w:tc>
          <w:tcPr>
            <w:tcW w:w="742"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w:t>
            </w:r>
          </w:p>
        </w:tc>
        <w:tc>
          <w:tcPr>
            <w:tcW w:w="2721"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w:t>
            </w:r>
          </w:p>
        </w:tc>
        <w:tc>
          <w:tcPr>
            <w:tcW w:w="1534" w:type="dxa"/>
            <w:gridSpan w:val="3"/>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3</w:t>
            </w:r>
          </w:p>
        </w:tc>
        <w:tc>
          <w:tcPr>
            <w:tcW w:w="1968"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4</w:t>
            </w:r>
          </w:p>
        </w:tc>
        <w:tc>
          <w:tcPr>
            <w:tcW w:w="2170"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w:t>
            </w:r>
          </w:p>
        </w:tc>
      </w:tr>
      <w:tr>
        <w:trPr>
          <w:jc w:val="left"/>
        </w:trPr>
        <w:tc>
          <w:tcPr>
            <w:tcW w:w="742"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2721"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534" w:type="dxa"/>
            <w:gridSpan w:val="3"/>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968"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2170"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r>
        <w:trPr>
          <w:jc w:val="left"/>
        </w:trPr>
        <w:tc>
          <w:tcPr>
            <w:tcW w:w="9135" w:type="dxa"/>
            <w:gridSpan w:val="10"/>
            <w:hMerge w:val="restart"/>
            <w:tcBorders>
              <w:top w:val="single" w:sz="4"/>
              <w:bottom w:val="single" w:sz="4"/>
            </w:tcBorders>
          </w:tcPr>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2.14. Финансирование проекта:</w:t>
            </w:r>
          </w:p>
        </w:tc>
      </w:tr>
      <w:tr>
        <w:trPr>
          <w:jc w:val="left"/>
        </w:trPr>
        <w:tc>
          <w:tcPr>
            <w:tcW w:w="742" w:type="dxa"/>
            <w:v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N п/п</w:t>
            </w:r>
          </w:p>
        </w:tc>
        <w:tc>
          <w:tcPr>
            <w:tcW w:w="1867" w:type="dxa"/>
            <w:v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Наименование мероприятия</w:t>
            </w:r>
          </w:p>
        </w:tc>
        <w:tc>
          <w:tcPr>
            <w:tcW w:w="5333" w:type="dxa"/>
            <w:gridSpan w:val="7"/>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Источники финансирования проекта, сумма (рублей)</w:t>
            </w:r>
          </w:p>
        </w:tc>
        <w:tc>
          <w:tcPr>
            <w:tcW w:w="1193" w:type="dxa"/>
            <w:v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Общий объем расходов (рублей)</w:t>
            </w:r>
          </w:p>
        </w:tc>
      </w:tr>
      <w:tr>
        <w:trPr>
          <w:jc w:val="left"/>
        </w:trPr>
        <w:tc>
          <w:tcPr>
            <w:tcW w:w="742" w:type="dxa"/>
            <w:vMerge w:val="continue"/>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p>
        </w:tc>
        <w:tc>
          <w:tcPr>
            <w:tcW w:w="1867" w:type="dxa"/>
            <w:vMerge w:val="continue"/>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p>
        </w:tc>
        <w:tc>
          <w:tcPr>
            <w:tcW w:w="1194"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средства краевого бюджета</w:t>
            </w:r>
          </w:p>
        </w:tc>
        <w:tc>
          <w:tcPr>
            <w:tcW w:w="2041" w:type="dxa"/>
            <w:gridSpan w:val="3"/>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средства бюджета муниципального образования</w:t>
            </w:r>
          </w:p>
        </w:tc>
        <w:tc>
          <w:tcPr>
            <w:tcW w:w="2098"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внебюджетные источники финансирования проекта</w:t>
            </w:r>
          </w:p>
        </w:tc>
        <w:tc>
          <w:tcPr>
            <w:tcW w:w="1193" w:type="dxa"/>
            <w:vMerge w:val="continue"/>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p>
        </w:tc>
      </w:tr>
      <w:tr>
        <w:trPr>
          <w:jc w:val="left"/>
        </w:trPr>
        <w:tc>
          <w:tcPr>
            <w:tcW w:w="742"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w:t>
            </w:r>
          </w:p>
        </w:tc>
        <w:tc>
          <w:tcPr>
            <w:tcW w:w="1867"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w:t>
            </w:r>
          </w:p>
        </w:tc>
        <w:tc>
          <w:tcPr>
            <w:tcW w:w="1194"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3</w:t>
            </w:r>
          </w:p>
        </w:tc>
        <w:tc>
          <w:tcPr>
            <w:tcW w:w="2041" w:type="dxa"/>
            <w:gridSpan w:val="3"/>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4</w:t>
            </w:r>
          </w:p>
        </w:tc>
        <w:tc>
          <w:tcPr>
            <w:tcW w:w="2098"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w:t>
            </w:r>
          </w:p>
        </w:tc>
        <w:tc>
          <w:tcPr>
            <w:tcW w:w="1193"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6</w:t>
            </w:r>
          </w:p>
        </w:tc>
      </w:tr>
      <w:tr>
        <w:trPr>
          <w:jc w:val="left"/>
        </w:trPr>
        <w:tc>
          <w:tcPr>
            <w:tcW w:w="742"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867"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194"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2041" w:type="dxa"/>
            <w:gridSpan w:val="3"/>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2098"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193"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r>
        <w:trPr>
          <w:jc w:val="left"/>
        </w:trPr>
        <w:tc>
          <w:tcPr>
            <w:tcW w:w="742"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867"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194"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2041" w:type="dxa"/>
            <w:gridSpan w:val="3"/>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2098"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193"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r>
        <w:trPr>
          <w:jc w:val="left"/>
        </w:trPr>
        <w:tc>
          <w:tcPr>
            <w:tcW w:w="742"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867"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194"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2041" w:type="dxa"/>
            <w:gridSpan w:val="3"/>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2098"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193"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r>
        <w:trPr>
          <w:jc w:val="left"/>
        </w:trPr>
        <w:tc>
          <w:tcPr>
            <w:tcW w:w="742"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867"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Всего</w:t>
            </w:r>
          </w:p>
        </w:tc>
        <w:tc>
          <w:tcPr>
            <w:tcW w:w="1194"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2041" w:type="dxa"/>
            <w:gridSpan w:val="3"/>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2098"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193"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r>
        <w:trPr>
          <w:jc w:val="left"/>
        </w:trPr>
        <w:tc>
          <w:tcPr>
            <w:tcW w:w="9135" w:type="dxa"/>
            <w:gridSpan w:val="10"/>
            <w:hMerge w:val="restart"/>
            <w:tcBorders>
              <w:top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r>
        <w:trPr>
          <w:jc w:val="left"/>
        </w:trPr>
        <w:tc>
          <w:tcPr>
            <w:tcW w:w="4264" w:type="dxa"/>
            <w:gridSpan w:val="5"/>
            <w:hMerge w:val="restart"/>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Глава муниципального образования</w:t>
            </w:r>
          </w:p>
        </w:tc>
        <w:tc>
          <w:tcPr>
            <w:tcW w:w="1580" w:type="dxa"/>
            <w:gridSpan w:val="2"/>
            <w:hMerge w:val="restart"/>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(подпись)</w:t>
            </w:r>
          </w:p>
        </w:tc>
        <w:tc>
          <w:tcPr>
            <w:tcW w:w="3291" w:type="dxa"/>
            <w:gridSpan w:val="3"/>
            <w:hMerge w:val="restart"/>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(расшифровка подписи)</w:t>
            </w:r>
          </w:p>
        </w:tc>
      </w:tr>
      <w:tr>
        <w:trPr>
          <w:jc w:val="left"/>
        </w:trPr>
        <w:tc>
          <w:tcPr>
            <w:tcW w:w="9135" w:type="dxa"/>
            <w:gridSpan w:val="10"/>
            <w:hMerge w:val="restart"/>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М.П.</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Дата ____________</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Ответственной за подготовку проекта</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Председатель инициативной группы/ТОС (наименование ТОС)</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Ф.И.О.:</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(полностью)</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контактный телефон (с кодом):</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факс (с кодом):</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e-mail:</w:t>
            </w:r>
          </w:p>
        </w:tc>
      </w:tr>
      <w:tr>
        <w:trPr>
          <w:jc w:val="left"/>
        </w:trPr>
        <w:tc>
          <w:tcPr>
            <w:tcW w:w="4264" w:type="dxa"/>
            <w:gridSpan w:val="5"/>
            <w:hMerge w:val="restart"/>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580" w:type="dxa"/>
            <w:gridSpan w:val="2"/>
            <w:hMerge w:val="restart"/>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(подпись)</w:t>
            </w:r>
          </w:p>
        </w:tc>
        <w:tc>
          <w:tcPr>
            <w:tcW w:w="3291" w:type="dxa"/>
            <w:gridSpan w:val="3"/>
            <w:hMerge w:val="restart"/>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(расшифровка подписи)</w:t>
            </w:r>
          </w:p>
        </w:tc>
      </w:tr>
      <w:tr>
        <w:trPr>
          <w:jc w:val="left"/>
        </w:trPr>
        <w:tc>
          <w:tcPr>
            <w:tcW w:w="9135" w:type="dxa"/>
            <w:gridSpan w:val="10"/>
            <w:hMerge w:val="restart"/>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М.П. (при наличии)</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Дата ____________</w:t>
            </w: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outlineLvl w:val="1"/>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Приложение N 2</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 Порядку</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проведения</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конкурса проектов,</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инициируемых жителями</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муниципальных образований</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Приморского края,</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 решению вопросов</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местного значения</w:t>
      </w:r>
    </w:p>
    <w:p>
      <w:pPr>
        <w:spacing w:before="0" w:after="0" w:line="240" w:lineRule="auto"/>
        <w:jc w:val="left"/>
        <w:rPr>
          <w:sz w:val="24"/>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fill="f4f3f8"/>
        <w:tblLayout w:type="autofit"/>
        <w:tblCellMar>
          <w:left w:w="0" w:type="dxa"/>
          <w:right w:w="0" w:type="dxa"/>
        </w:tblCellMar>
      </w:tblPr>
      <w:tblGrid>
        <w:gridCol w:w="60"/>
        <w:gridCol w:w="113"/>
        <w:gridCol w:w="9921"/>
        <w:gridCol w:w="113"/>
      </w:tblGrid>
      <w:tr>
        <w:tc>
          <w:tcPr>
            <w:tcW w:w="60" w:type="dxa"/>
            <w:shd w:val="clear" w:fill="ced3f1"/>
            <w:tcMar>
              <w:left w:w="0" w:type="dxa"/>
              <w:top w:w="0" w:type="dxa"/>
              <w:right w:w="0" w:type="dxa"/>
              <w:bottom w:w="0" w:type="dxa"/>
            </w:tcMar>
            <w:vAlign w:val="top"/>
          </w:tcPr>
          <w:p>
            <w:pPr>
              <w:spacing w:before="0" w:after="0" w:line="240" w:lineRule="auto"/>
              <w:jc w:val="left"/>
              <w:rPr>
                <w:sz w:val="24"/>
              </w:rPr>
            </w:pPr>
          </w:p>
        </w:tc>
        <w:tc>
          <w:tcPr>
            <w:tcW w:w="113" w:type="dxa"/>
            <w:shd w:val="clear" w:fill="f4f3f8"/>
            <w:tcMar>
              <w:left w:w="0" w:type="dxa"/>
              <w:top w:w="0" w:type="dxa"/>
              <w:right w:w="0" w:type="dxa"/>
              <w:bottom w:w="0" w:type="dxa"/>
            </w:tcMar>
            <w:vAlign w:val="top"/>
          </w:tcPr>
          <w:p>
            <w:pPr>
              <w:spacing w:before="0" w:after="0" w:line="240" w:lineRule="auto"/>
              <w:jc w:val="left"/>
              <w:rPr>
                <w:sz w:val="24"/>
              </w:rPr>
            </w:pPr>
          </w:p>
        </w:tc>
        <w:tc>
          <w:tcPr>
            <w:tcW w:w="9921" w:type="dxa"/>
            <w:shd w:val="clear" w:fill="f4f3f8"/>
            <w:tcMar>
              <w:left w:w="0" w:type="dxa"/>
              <w:top w:w="113" w:type="dxa"/>
              <w:right w:w="0" w:type="dxa"/>
              <w:bottom w:w="113"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Список изменяющих документов</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(в ред. Постановления Правительства Приморского края</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15.02.2022 N 74-пп)</w:t>
            </w:r>
          </w:p>
        </w:tc>
        <w:tc>
          <w:tcPr>
            <w:tcW w:w="113" w:type="dxa"/>
            <w:shd w:val="clear" w:fill="f4f3f8"/>
            <w:tcMar>
              <w:left w:w="0" w:type="dxa"/>
              <w:top w:w="0" w:type="dxa"/>
              <w:right w:w="0" w:type="dxa"/>
              <w:bottom w:w="0"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Форма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62" w:type="dxa"/>
          <w:top w:w="102" w:type="dxa"/>
          <w:right w:w="62" w:type="dxa"/>
          <w:bottom w:w="102" w:type="dxa"/>
        </w:tblCellMar>
      </w:tblPr>
      <w:tblGrid>
        <w:gridCol w:w="777"/>
        <w:gridCol w:w="2030"/>
        <w:gridCol w:w="2211"/>
        <w:gridCol w:w="858"/>
        <w:gridCol w:w="1055"/>
        <w:gridCol w:w="866"/>
        <w:gridCol w:w="1247"/>
      </w:tblGrid>
      <w:tr>
        <w:trPr>
          <w:jc w:val="left"/>
        </w:trPr>
        <w:tc>
          <w:tcPr>
            <w:tcW w:w="9044" w:type="dxa"/>
            <w:gridSpan w:val="7"/>
            <w:hMerge w:val="restart"/>
          </w:tcPr>
          <w:p>
            <w:pPr>
              <w:pStyle w:val="Style_0"/>
              <w:spacing w:before="0" w:after="0" w:line="240" w:lineRule="auto"/>
              <w:ind w:left="0" w:firstLine="0"/>
              <w:jc w:val="center"/>
              <w:rPr>
                <w:rFonts w:ascii="Times New Roman" w:hAnsi="Times New Roman" w:eastAsia="Times New Roman" w:cs="Times New Roman"/>
                <w:b w:val="0"/>
                <w:i w:val="0"/>
                <w:strike w:val="0"/>
                <w:sz w:val="24"/>
              </w:rPr>
            </w:pPr>
            <w:bookmarkStart w:id="8" w:name="Par326"/>
            <w:bookmarkEnd w:id="8"/>
            <w:r>
              <w:rPr>
                <w:rFonts w:ascii="Times New Roman" w:hAnsi="Times New Roman" w:eastAsia="Times New Roman" w:cs="Times New Roman"/>
                <w:b w:val="0"/>
                <w:i w:val="0"/>
                <w:strike w:val="0"/>
                <w:sz w:val="24"/>
              </w:rPr>
              <w:t xml:space="preserve">ЗАЯВКА</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 участие в конкурсе проектов, инициируемых жителями муниципальных образований Приморского края, по решению вопросов местного значения</w:t>
            </w:r>
          </w:p>
        </w:tc>
      </w:tr>
      <w:tr>
        <w:trPr>
          <w:jc w:val="left"/>
        </w:trPr>
        <w:tc>
          <w:tcPr>
            <w:tcW w:w="9044" w:type="dxa"/>
            <w:gridSpan w:val="7"/>
            <w:hMerge w:val="restart"/>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____________________________________________________________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(наименование муниципального образования Приморского края)</w:t>
            </w:r>
          </w:p>
        </w:tc>
      </w:tr>
      <w:tr>
        <w:trPr>
          <w:jc w:val="left"/>
        </w:trPr>
        <w:tc>
          <w:tcPr>
            <w:tcW w:w="9044" w:type="dxa"/>
            <w:gridSpan w:val="7"/>
            <w:hMerge w:val="restart"/>
            <w:tcBorders>
              <w:bottom w:val="single" w:sz="4"/>
            </w:tcBorders>
          </w:tcPr>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заявляет о намерении принять участие в конкурсе проектов, инициируемых жителями муниципальных образований Приморского края, по решению вопросов местного значения.</w:t>
            </w:r>
          </w:p>
        </w:tc>
      </w:tr>
      <w:tr>
        <w:trPr>
          <w:jc w:val="left"/>
        </w:trPr>
        <w:tc>
          <w:tcPr>
            <w:tcW w:w="777"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N п/п</w:t>
            </w:r>
          </w:p>
        </w:tc>
        <w:tc>
          <w:tcPr>
            <w:tcW w:w="4241"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Наименование инициативной группы/ТОС</w:t>
            </w:r>
          </w:p>
        </w:tc>
        <w:tc>
          <w:tcPr>
            <w:tcW w:w="4026" w:type="dxa"/>
            <w:gridSpan w:val="4"/>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Наименование проекта инициативной группы/ТОС</w:t>
            </w:r>
          </w:p>
        </w:tc>
      </w:tr>
      <w:tr>
        <w:trPr>
          <w:jc w:val="left"/>
        </w:trPr>
        <w:tc>
          <w:tcPr>
            <w:tcW w:w="777"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w:t>
            </w:r>
          </w:p>
        </w:tc>
        <w:tc>
          <w:tcPr>
            <w:tcW w:w="4241"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w:t>
            </w:r>
          </w:p>
        </w:tc>
        <w:tc>
          <w:tcPr>
            <w:tcW w:w="4026" w:type="dxa"/>
            <w:gridSpan w:val="4"/>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3</w:t>
            </w:r>
          </w:p>
        </w:tc>
      </w:tr>
      <w:tr>
        <w:trPr>
          <w:jc w:val="left"/>
        </w:trPr>
        <w:tc>
          <w:tcPr>
            <w:tcW w:w="777"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4241" w:type="dxa"/>
            <w:gridSpan w:val="2"/>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4026" w:type="dxa"/>
            <w:gridSpan w:val="4"/>
            <w:h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r>
        <w:trPr>
          <w:jc w:val="left"/>
        </w:trPr>
        <w:tc>
          <w:tcPr>
            <w:tcW w:w="9044" w:type="dxa"/>
            <w:gridSpan w:val="7"/>
            <w:hMerge w:val="restart"/>
            <w:tcBorders>
              <w:top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Приложение:</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Заявитель настоящим подтверждает и гарантирует, что вся информация, содержащаяся в Заявке и прилагаемых к ней документах, является достоверной и полной.</w:t>
            </w:r>
          </w:p>
        </w:tc>
      </w:tr>
      <w:tr>
        <w:trPr>
          <w:jc w:val="left"/>
        </w:trPr>
        <w:tc>
          <w:tcPr>
            <w:tcW w:w="9044" w:type="dxa"/>
            <w:gridSpan w:val="7"/>
            <w:hMerge w:val="restart"/>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r>
        <w:trPr>
          <w:jc w:val="left"/>
        </w:trPr>
        <w:tc>
          <w:tcPr>
            <w:tcW w:w="5876" w:type="dxa"/>
            <w:gridSpan w:val="4"/>
            <w:hMerge w:val="restart"/>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Глава муниципального образования</w:t>
            </w:r>
          </w:p>
        </w:tc>
        <w:tc>
          <w:tcPr>
            <w:tcW w:w="1921" w:type="dxa"/>
            <w:gridSpan w:val="2"/>
            <w:hMerge w:val="restart"/>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(подпись)</w:t>
            </w:r>
          </w:p>
        </w:tc>
        <w:tc>
          <w:tcPr>
            <w:tcW w:w="1247" w:type="dxa"/>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(расшифровка подписи)</w:t>
            </w:r>
          </w:p>
        </w:tc>
      </w:tr>
      <w:tr>
        <w:trPr>
          <w:jc w:val="left"/>
        </w:trPr>
        <w:tc>
          <w:tcPr>
            <w:tcW w:w="9044" w:type="dxa"/>
            <w:gridSpan w:val="7"/>
            <w:hMerge w:val="restart"/>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М.П.</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Дата ______________</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Непосредственный исполнитель:</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Председатель инициативной группы/ТОС (наименование инициативной группы/ТОС)</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Ф.И.О.:</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(полностью)</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контактный телефон (с кодом):</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факс (с кодом):</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e-mail:</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Заявка зарегистрирована</w:t>
            </w:r>
          </w:p>
        </w:tc>
      </w:tr>
      <w:tr>
        <w:trPr>
          <w:jc w:val="left"/>
        </w:trPr>
        <w:tc>
          <w:tcPr>
            <w:tcW w:w="2807" w:type="dxa"/>
            <w:gridSpan w:val="2"/>
            <w:hMerge w:val="restart"/>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номер регистрации</w:t>
            </w:r>
          </w:p>
        </w:tc>
        <w:tc>
          <w:tcPr>
            <w:tcW w:w="4124" w:type="dxa"/>
            <w:gridSpan w:val="3"/>
            <w:hMerge w:val="restart"/>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 _________ 20_ г.</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дата регистрации</w:t>
            </w:r>
          </w:p>
        </w:tc>
        <w:tc>
          <w:tcPr>
            <w:tcW w:w="2113" w:type="dxa"/>
            <w:gridSpan w:val="2"/>
            <w:hMerge w:val="restart"/>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outlineLvl w:val="1"/>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Приложение N 3</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 Порядку</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проведения</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конкурса проектов,</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инициируемых жителями</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муниципальных образований</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Приморского края,</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 решению вопросов</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местного значения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2"/>
        <w:spacing w:before="0" w:after="0" w:line="240" w:lineRule="auto"/>
        <w:ind w:left="0" w:firstLine="0"/>
        <w:jc w:val="center"/>
        <w:rPr>
          <w:rFonts w:ascii="Arial" w:hAnsi="Arial" w:eastAsia="Arial" w:cs="Arial"/>
          <w:b/>
          <w:i w:val="0"/>
          <w:strike w:val="0"/>
          <w:sz w:val="24"/>
        </w:rPr>
      </w:pPr>
      <w:bookmarkStart w:id="9" w:name="Par380"/>
      <w:bookmarkEnd w:id="9"/>
      <w:r>
        <w:rPr>
          <w:rFonts w:ascii="Arial" w:hAnsi="Arial" w:eastAsia="Arial" w:cs="Arial"/>
          <w:b/>
          <w:i w:val="0"/>
          <w:strike w:val="0"/>
          <w:sz w:val="24"/>
        </w:rPr>
        <w:t xml:space="preserve">КРИТЕРИИ ОЦЕНКИ ПРОЕКТОВ</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62" w:type="dxa"/>
          <w:top w:w="102" w:type="dxa"/>
          <w:right w:w="62" w:type="dxa"/>
          <w:bottom w:w="102" w:type="dxa"/>
        </w:tblCellMar>
      </w:tblPr>
      <w:tblGrid>
        <w:gridCol w:w="672"/>
        <w:gridCol w:w="1949"/>
        <w:gridCol w:w="4479"/>
        <w:gridCol w:w="1925"/>
      </w:tblGrid>
      <w:tr>
        <w:trPr>
          <w:jc w:val="left"/>
        </w:trPr>
        <w:tc>
          <w:tcPr>
            <w:tcW w:w="672"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N п/п</w:t>
            </w:r>
          </w:p>
        </w:tc>
        <w:tc>
          <w:tcPr>
            <w:tcW w:w="1949"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Группа критериев</w:t>
            </w:r>
          </w:p>
        </w:tc>
        <w:tc>
          <w:tcPr>
            <w:tcW w:w="4479"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Значение критериев оценки и их балльная наполняемость</w:t>
            </w:r>
          </w:p>
        </w:tc>
        <w:tc>
          <w:tcPr>
            <w:tcW w:w="1925"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Максимальный балл</w:t>
            </w:r>
          </w:p>
        </w:tc>
      </w:tr>
      <w:tr>
        <w:trPr>
          <w:jc w:val="left"/>
        </w:trPr>
        <w:tc>
          <w:tcPr>
            <w:tcW w:w="672"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w:t>
            </w:r>
          </w:p>
        </w:tc>
        <w:tc>
          <w:tcPr>
            <w:tcW w:w="1949"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w:t>
            </w:r>
          </w:p>
        </w:tc>
        <w:tc>
          <w:tcPr>
            <w:tcW w:w="4479"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3</w:t>
            </w:r>
          </w:p>
        </w:tc>
        <w:tc>
          <w:tcPr>
            <w:tcW w:w="1925"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4</w:t>
            </w:r>
          </w:p>
        </w:tc>
      </w:tr>
      <w:tr>
        <w:trPr>
          <w:jc w:val="left"/>
        </w:trPr>
        <w:tc>
          <w:tcPr>
            <w:tcW w:w="672" w:type="dxa"/>
            <w:v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w:t>
            </w:r>
          </w:p>
        </w:tc>
        <w:tc>
          <w:tcPr>
            <w:tcW w:w="1949" w:type="dxa"/>
            <w:v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Обоснованность и актуальность проекта</w:t>
            </w:r>
          </w:p>
        </w:tc>
        <w:tc>
          <w:tcPr>
            <w:tcW w:w="4479"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обоснованность и актуальность проблемы, на решение которой направлен проект (не обоснована - 0 баллов; частично обоснована - 3 балла; обоснована в полной мере - 5 баллов)</w:t>
            </w:r>
          </w:p>
        </w:tc>
        <w:tc>
          <w:tcPr>
            <w:tcW w:w="1925" w:type="dxa"/>
            <w:tcBorders>
              <w:top w:val="single" w:sz="4"/>
              <w:left w:val="single" w:sz="4"/>
              <w:bottom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w:t>
            </w:r>
          </w:p>
        </w:tc>
      </w:tr>
      <w:tr>
        <w:trPr>
          <w:jc w:val="left"/>
        </w:trPr>
        <w:tc>
          <w:tcPr>
            <w:tcW w:w="672" w:type="dxa"/>
            <w:vMerge w:val="continue"/>
            <w:tcBorders>
              <w:top w:val="single" w:sz="4"/>
              <w:left w:val="single" w:sz="4"/>
              <w:bottom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p>
        </w:tc>
        <w:tc>
          <w:tcPr>
            <w:tcW w:w="1949" w:type="dxa"/>
            <w:vMerge w:val="continue"/>
            <w:tcBorders>
              <w:top w:val="single" w:sz="4"/>
              <w:left w:val="single" w:sz="4"/>
              <w:bottom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p>
        </w:tc>
        <w:tc>
          <w:tcPr>
            <w:tcW w:w="4479"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соответствие цели и задач проекта проблеме, на решение которой направлен проект (не соответствуют - 0 баллов; частично соответствуют - 3 балла; полностью соответствуют - 5 баллов)</w:t>
            </w:r>
          </w:p>
        </w:tc>
        <w:tc>
          <w:tcPr>
            <w:tcW w:w="1925" w:type="dxa"/>
            <w:tcBorders>
              <w:top w:val="single" w:sz="4"/>
              <w:left w:val="single" w:sz="4"/>
              <w:bottom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w:t>
            </w:r>
          </w:p>
        </w:tc>
      </w:tr>
      <w:tr>
        <w:trPr>
          <w:jc w:val="left"/>
        </w:trPr>
        <w:tc>
          <w:tcPr>
            <w:tcW w:w="672" w:type="dxa"/>
            <w:vMerge w:val="restart"/>
            <w:tcBorders>
              <w:top w:val="single" w:sz="4"/>
              <w:left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w:t>
            </w:r>
          </w:p>
        </w:tc>
        <w:tc>
          <w:tcPr>
            <w:tcW w:w="1949" w:type="dxa"/>
            <w:vMerge w:val="restart"/>
            <w:tcBorders>
              <w:top w:val="single" w:sz="4"/>
              <w:left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Экономическая эффективность проекта</w:t>
            </w:r>
          </w:p>
        </w:tc>
        <w:tc>
          <w:tcPr>
            <w:tcW w:w="4479"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обоснованность расходов, предусмотренных в проекте, на основании представленных документов (не обоснованы расходы, включенные в общий объем расходов, предусмотренный проектом, - 0 баллов; частично обоснованы расходы, включенные в общий объем расходов, предусмотренный проектом, - 3 балла; полностью обоснованы расходы, включенные в общий объем расходов, предусмотренный проектом, - 5 баллов)</w:t>
            </w:r>
          </w:p>
        </w:tc>
        <w:tc>
          <w:tcPr>
            <w:tcW w:w="1925" w:type="dxa"/>
            <w:tcBorders>
              <w:top w:val="single" w:sz="4"/>
              <w:left w:val="single" w:sz="4"/>
              <w:bottom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w:t>
            </w:r>
          </w:p>
        </w:tc>
      </w:tr>
      <w:tr>
        <w:trPr>
          <w:jc w:val="left"/>
        </w:trPr>
        <w:tc>
          <w:tcPr>
            <w:tcW w:w="672" w:type="dxa"/>
            <w:vMerge w:val="continue"/>
            <w:tcBorders>
              <w:top w:val="single" w:sz="4"/>
              <w:left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p>
        </w:tc>
        <w:tc>
          <w:tcPr>
            <w:tcW w:w="1949" w:type="dxa"/>
            <w:vMerge w:val="continue"/>
            <w:tcBorders>
              <w:top w:val="single" w:sz="4"/>
              <w:left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p>
        </w:tc>
        <w:tc>
          <w:tcPr>
            <w:tcW w:w="4479"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количество привлекаемых граждан в деятельность по реализации проекта (до 5 человек - 1 балл; от 6 до 10 человек - 2 балла; от 11 до 15 человек - 3 балла; от 16 до 20 человек - 4 балла; свыше 21 человека - 5 баллов)</w:t>
            </w:r>
          </w:p>
        </w:tc>
        <w:tc>
          <w:tcPr>
            <w:tcW w:w="1925" w:type="dxa"/>
            <w:tcBorders>
              <w:top w:val="single" w:sz="4"/>
              <w:left w:val="single" w:sz="4"/>
              <w:bottom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w:t>
            </w:r>
          </w:p>
        </w:tc>
      </w:tr>
      <w:tr>
        <w:trPr>
          <w:jc w:val="left"/>
        </w:trPr>
        <w:tc>
          <w:tcPr>
            <w:tcW w:w="672" w:type="dxa"/>
            <w:tcBorders>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949" w:type="dxa"/>
            <w:tcBorders>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4479"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доля привлекаемых средств из внебюджетных источников финансирования проекта от общего объема расходов на реализацию проекта (0% - 0 баллов; от 0,1% до 5% - 1 балл; свыше 5% до 10% - 2 балла; свыше 10% до 15% - 3 балла; свыше 15% до 20% - 4 балла; свыше 20% - 5 баллов)</w:t>
            </w:r>
          </w:p>
        </w:tc>
        <w:tc>
          <w:tcPr>
            <w:tcW w:w="1925" w:type="dxa"/>
            <w:tcBorders>
              <w:top w:val="single" w:sz="4"/>
              <w:left w:val="single" w:sz="4"/>
              <w:bottom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w:t>
            </w:r>
          </w:p>
        </w:tc>
      </w:tr>
      <w:tr>
        <w:trPr>
          <w:jc w:val="left"/>
        </w:trPr>
        <w:tc>
          <w:tcPr>
            <w:tcW w:w="672" w:type="dxa"/>
            <w:v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3.</w:t>
            </w:r>
          </w:p>
        </w:tc>
        <w:tc>
          <w:tcPr>
            <w:tcW w:w="1949" w:type="dxa"/>
            <w:vMerge w:val="restart"/>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Социальная эффективность проекта</w:t>
            </w:r>
          </w:p>
        </w:tc>
        <w:tc>
          <w:tcPr>
            <w:tcW w:w="4479"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доля благополучателей от реализации проекта от общего количества граждан, проживающих в границах территории, на которой будет осуществляться благоустройство (до 20% - 1 балл; свыше 20% до 40% - 2 балла; свыше 40% до 60% - 3 балла; свыше 60% до 80% - 4 балла; свыше 80% - 5 баллов)</w:t>
            </w:r>
          </w:p>
        </w:tc>
        <w:tc>
          <w:tcPr>
            <w:tcW w:w="1925" w:type="dxa"/>
            <w:tcBorders>
              <w:top w:val="single" w:sz="4"/>
              <w:left w:val="single" w:sz="4"/>
              <w:bottom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w:t>
            </w:r>
          </w:p>
        </w:tc>
      </w:tr>
      <w:tr>
        <w:trPr>
          <w:jc w:val="left"/>
        </w:trPr>
        <w:tc>
          <w:tcPr>
            <w:tcW w:w="672" w:type="dxa"/>
            <w:vMerge w:val="continue"/>
            <w:tcBorders>
              <w:top w:val="single" w:sz="4"/>
              <w:left w:val="single" w:sz="4"/>
              <w:bottom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p>
        </w:tc>
        <w:tc>
          <w:tcPr>
            <w:tcW w:w="1949" w:type="dxa"/>
            <w:vMerge w:val="continue"/>
            <w:tcBorders>
              <w:top w:val="single" w:sz="4"/>
              <w:left w:val="single" w:sz="4"/>
              <w:bottom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p>
        </w:tc>
        <w:tc>
          <w:tcPr>
            <w:tcW w:w="4479"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влияние результатов проекта на популяризацию ТОС среди жителей муниципального образования края (результаты проекта не способствуют популяризации ТОС - 0 баллов; результаты проекта способствуют популяризации ТОС - 5 баллов)</w:t>
            </w:r>
          </w:p>
        </w:tc>
        <w:tc>
          <w:tcPr>
            <w:tcW w:w="1925" w:type="dxa"/>
            <w:tcBorders>
              <w:top w:val="single" w:sz="4"/>
              <w:left w:val="single" w:sz="4"/>
              <w:bottom w:val="single" w:sz="4"/>
              <w:right w:val="single" w:sz="4"/>
            </w:tcBorders>
          </w:tcPr>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w:t>
            </w: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outlineLvl w:val="1"/>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Приложение N 4</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 Порядку</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проведения конкурса</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проектов, инициируемых</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жителями муниципальных</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образований</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Приморского края,</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 решению вопросов</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местного значения</w:t>
      </w:r>
    </w:p>
    <w:p>
      <w:pPr>
        <w:spacing w:before="0" w:after="0" w:line="240" w:lineRule="auto"/>
        <w:jc w:val="left"/>
        <w:rPr>
          <w:sz w:val="24"/>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fill="f4f3f8"/>
        <w:tblLayout w:type="autofit"/>
        <w:tblCellMar>
          <w:left w:w="0" w:type="dxa"/>
          <w:right w:w="0" w:type="dxa"/>
        </w:tblCellMar>
      </w:tblPr>
      <w:tblGrid>
        <w:gridCol w:w="60"/>
        <w:gridCol w:w="113"/>
        <w:gridCol w:w="9921"/>
        <w:gridCol w:w="113"/>
      </w:tblGrid>
      <w:tr>
        <w:tc>
          <w:tcPr>
            <w:tcW w:w="60" w:type="dxa"/>
            <w:shd w:val="clear" w:fill="ced3f1"/>
            <w:tcMar>
              <w:left w:w="0" w:type="dxa"/>
              <w:top w:w="0" w:type="dxa"/>
              <w:right w:w="0" w:type="dxa"/>
              <w:bottom w:w="0" w:type="dxa"/>
            </w:tcMar>
            <w:vAlign w:val="top"/>
          </w:tcPr>
          <w:p>
            <w:pPr>
              <w:spacing w:before="0" w:after="0" w:line="240" w:lineRule="auto"/>
              <w:jc w:val="left"/>
              <w:rPr>
                <w:sz w:val="24"/>
              </w:rPr>
            </w:pPr>
          </w:p>
        </w:tc>
        <w:tc>
          <w:tcPr>
            <w:tcW w:w="113" w:type="dxa"/>
            <w:shd w:val="clear" w:fill="f4f3f8"/>
            <w:tcMar>
              <w:left w:w="0" w:type="dxa"/>
              <w:top w:w="0" w:type="dxa"/>
              <w:right w:w="0" w:type="dxa"/>
              <w:bottom w:w="0" w:type="dxa"/>
            </w:tcMar>
            <w:vAlign w:val="top"/>
          </w:tcPr>
          <w:p>
            <w:pPr>
              <w:spacing w:before="0" w:after="0" w:line="240" w:lineRule="auto"/>
              <w:jc w:val="left"/>
              <w:rPr>
                <w:sz w:val="24"/>
              </w:rPr>
            </w:pPr>
          </w:p>
        </w:tc>
        <w:tc>
          <w:tcPr>
            <w:tcW w:w="9921" w:type="dxa"/>
            <w:shd w:val="clear" w:fill="f4f3f8"/>
            <w:tcMar>
              <w:left w:w="0" w:type="dxa"/>
              <w:top w:w="113" w:type="dxa"/>
              <w:right w:w="0" w:type="dxa"/>
              <w:bottom w:w="113"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Список изменяющих документов</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(введено Постановлением Правительства Приморского края</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15.02.2022 N 74-пп)</w:t>
            </w:r>
          </w:p>
        </w:tc>
        <w:tc>
          <w:tcPr>
            <w:tcW w:w="113" w:type="dxa"/>
            <w:shd w:val="clear" w:fill="f4f3f8"/>
            <w:tcMar>
              <w:left w:w="0" w:type="dxa"/>
              <w:top w:w="0" w:type="dxa"/>
              <w:right w:w="0" w:type="dxa"/>
              <w:bottom w:w="0"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Форма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62" w:type="dxa"/>
          <w:top w:w="102" w:type="dxa"/>
          <w:right w:w="62" w:type="dxa"/>
          <w:bottom w:w="102" w:type="dxa"/>
        </w:tblCellMar>
      </w:tblPr>
      <w:tblGrid>
        <w:gridCol w:w="2448"/>
        <w:gridCol w:w="3241"/>
        <w:gridCol w:w="3443"/>
      </w:tblGrid>
      <w:tr>
        <w:trPr>
          <w:jc w:val="left"/>
        </w:trPr>
        <w:tc>
          <w:tcPr>
            <w:tcW w:w="9132" w:type="dxa"/>
            <w:gridSpan w:val="3"/>
            <w:hMerge w:val="restart"/>
          </w:tcPr>
          <w:p>
            <w:pPr>
              <w:pStyle w:val="Style_0"/>
              <w:spacing w:before="0" w:after="0" w:line="240" w:lineRule="auto"/>
              <w:ind w:left="0" w:firstLine="0"/>
              <w:jc w:val="center"/>
              <w:rPr>
                <w:rFonts w:ascii="Times New Roman" w:hAnsi="Times New Roman" w:eastAsia="Times New Roman" w:cs="Times New Roman"/>
                <w:b w:val="0"/>
                <w:i w:val="0"/>
                <w:strike w:val="0"/>
                <w:sz w:val="24"/>
              </w:rPr>
            </w:pPr>
            <w:bookmarkStart w:id="10" w:name="Par432"/>
            <w:bookmarkEnd w:id="10"/>
            <w:r>
              <w:rPr>
                <w:rFonts w:ascii="Times New Roman" w:hAnsi="Times New Roman" w:eastAsia="Times New Roman" w:cs="Times New Roman"/>
                <w:b w:val="0"/>
                <w:i w:val="0"/>
                <w:strike w:val="0"/>
                <w:sz w:val="24"/>
              </w:rPr>
              <w:t xml:space="preserve">СОГЛАСИЕ</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 обработку персональных данных</w:t>
            </w:r>
          </w:p>
        </w:tc>
      </w:tr>
      <w:tr>
        <w:trPr>
          <w:jc w:val="left"/>
        </w:trPr>
        <w:tc>
          <w:tcPr>
            <w:tcW w:w="9132" w:type="dxa"/>
            <w:gridSpan w:val="3"/>
            <w:hMerge w:val="restart"/>
          </w:tcPr>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Я, __________________________________________________________________,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(фамилия, имя, отчество субъекта персональных данных)</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соответствии с п. 4 ст. 9 Федерального закона от 27.07.2006 N 152-ФЗ "О персональных данных", зарегистрирован(а) по адресу:</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______________________________________________________________________</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документ, удостоверяющий личность:</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______________________________________________________________________,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(наименование документа, серия, номер, сведения о дате выдачи документа и выдавшем его органе)</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даю согласие</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______________________________________________________________________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(указать наименование муниципального образования)</w:t>
            </w:r>
          </w:p>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находящемуся по адресу: ________________________________________________,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(указать адрес муниципального образования)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 обработку моих персональных данных, а именно: фамилия, имя, отчество, пол, паспортные данные, адрес регистрации по месту жительства, номер телефона (домашний, мобильный), адрес электронной почты, то есть на совершение действий, предусмотренных п. 3 ст. 3 Федерального закона от 27.07.2006 N 152-ФЗ "О персональных данных", для дальнейшего направления в департамент внутренней политики Приморского края и рассмотрения членами конкурсной комиссии по проведению конкурса проектов, инициируемых жителями муниципальных образований Приморского края, по решению вопросов местного значения.</w:t>
            </w:r>
          </w:p>
          <w:p>
            <w:pPr>
              <w:pStyle w:val="Style_0"/>
              <w:spacing w:before="0" w:after="0" w:line="240" w:lineRule="auto"/>
              <w:ind w:left="0" w:firstLine="283"/>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Настоящее согласие действует со дня его подписания до дня отзыва в письменной форме.</w:t>
            </w:r>
          </w:p>
        </w:tc>
      </w:tr>
      <w:tr>
        <w:trPr>
          <w:jc w:val="left"/>
        </w:trPr>
        <w:tc>
          <w:tcPr>
            <w:tcW w:w="9132" w:type="dxa"/>
            <w:gridSpan w:val="3"/>
            <w:hMerge w:val="restart"/>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 ____________ ___ г.</w:t>
            </w:r>
          </w:p>
        </w:tc>
      </w:tr>
      <w:tr>
        <w:trPr>
          <w:jc w:val="left"/>
        </w:trPr>
        <w:tc>
          <w:tcPr>
            <w:tcW w:w="9132" w:type="dxa"/>
            <w:gridSpan w:val="3"/>
            <w:hMerge w:val="restart"/>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Субъект персональных данных:</w:t>
            </w:r>
          </w:p>
        </w:tc>
      </w:tr>
      <w:tr>
        <w:trPr>
          <w:jc w:val="left"/>
        </w:trPr>
        <w:tc>
          <w:tcPr>
            <w:tcW w:w="2448" w:type="dxa"/>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(подпись)</w:t>
            </w:r>
          </w:p>
        </w:tc>
        <w:tc>
          <w:tcPr>
            <w:tcW w:w="3241" w:type="dxa"/>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(Ф.И.О.)</w:t>
            </w:r>
          </w:p>
        </w:tc>
        <w:tc>
          <w:tcPr>
            <w:tcW w:w="3443" w:type="dxa"/>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outlineLvl w:val="1"/>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Приложение N 5</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 Порядку</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проведения конкурса</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проектов, инициируемых</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жителями муниципальных</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образований</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Приморского края,</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 решению вопросов</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местного значения</w:t>
      </w:r>
    </w:p>
    <w:p>
      <w:pPr>
        <w:spacing w:before="0" w:after="0" w:line="240" w:lineRule="auto"/>
        <w:jc w:val="left"/>
        <w:rPr>
          <w:sz w:val="24"/>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fill="f4f3f8"/>
        <w:tblLayout w:type="autofit"/>
        <w:tblCellMar>
          <w:left w:w="0" w:type="dxa"/>
          <w:right w:w="0" w:type="dxa"/>
        </w:tblCellMar>
      </w:tblPr>
      <w:tblGrid>
        <w:gridCol w:w="60"/>
        <w:gridCol w:w="113"/>
        <w:gridCol w:w="9921"/>
        <w:gridCol w:w="113"/>
      </w:tblGrid>
      <w:tr>
        <w:tc>
          <w:tcPr>
            <w:tcW w:w="60" w:type="dxa"/>
            <w:shd w:val="clear" w:fill="ced3f1"/>
            <w:tcMar>
              <w:left w:w="0" w:type="dxa"/>
              <w:top w:w="0" w:type="dxa"/>
              <w:right w:w="0" w:type="dxa"/>
              <w:bottom w:w="0" w:type="dxa"/>
            </w:tcMar>
            <w:vAlign w:val="top"/>
          </w:tcPr>
          <w:p>
            <w:pPr>
              <w:spacing w:before="0" w:after="0" w:line="240" w:lineRule="auto"/>
              <w:jc w:val="left"/>
              <w:rPr>
                <w:sz w:val="24"/>
              </w:rPr>
            </w:pPr>
          </w:p>
        </w:tc>
        <w:tc>
          <w:tcPr>
            <w:tcW w:w="113" w:type="dxa"/>
            <w:shd w:val="clear" w:fill="f4f3f8"/>
            <w:tcMar>
              <w:left w:w="0" w:type="dxa"/>
              <w:top w:w="0" w:type="dxa"/>
              <w:right w:w="0" w:type="dxa"/>
              <w:bottom w:w="0" w:type="dxa"/>
            </w:tcMar>
            <w:vAlign w:val="top"/>
          </w:tcPr>
          <w:p>
            <w:pPr>
              <w:spacing w:before="0" w:after="0" w:line="240" w:lineRule="auto"/>
              <w:jc w:val="left"/>
              <w:rPr>
                <w:sz w:val="24"/>
              </w:rPr>
            </w:pPr>
          </w:p>
        </w:tc>
        <w:tc>
          <w:tcPr>
            <w:tcW w:w="9921" w:type="dxa"/>
            <w:shd w:val="clear" w:fill="f4f3f8"/>
            <w:tcMar>
              <w:left w:w="0" w:type="dxa"/>
              <w:top w:w="113" w:type="dxa"/>
              <w:right w:w="0" w:type="dxa"/>
              <w:bottom w:w="113"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Список изменяющих документов</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(введена Постановлением Правительства Приморского края</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24.05.2023 N 343-пп)</w:t>
            </w:r>
          </w:p>
        </w:tc>
        <w:tc>
          <w:tcPr>
            <w:tcW w:w="113" w:type="dxa"/>
            <w:shd w:val="clear" w:fill="f4f3f8"/>
            <w:tcMar>
              <w:left w:w="0" w:type="dxa"/>
              <w:top w:w="0" w:type="dxa"/>
              <w:right w:w="0" w:type="dxa"/>
              <w:bottom w:w="0"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Форма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62" w:type="dxa"/>
          <w:top w:w="102" w:type="dxa"/>
          <w:right w:w="62" w:type="dxa"/>
          <w:bottom w:w="102" w:type="dxa"/>
        </w:tblCellMar>
      </w:tblPr>
      <w:tblGrid>
        <w:gridCol w:w="9132"/>
      </w:tblGrid>
      <w:tr>
        <w:trPr>
          <w:jc w:val="left"/>
        </w:trPr>
        <w:tc>
          <w:tcPr>
            <w:tcW w:w="9132" w:type="dxa"/>
          </w:tcPr>
          <w:p>
            <w:pPr>
              <w:pStyle w:val="Style_0"/>
              <w:spacing w:before="0" w:after="0" w:line="240" w:lineRule="auto"/>
              <w:ind w:left="0" w:firstLine="0"/>
              <w:jc w:val="center"/>
              <w:rPr>
                <w:rFonts w:ascii="Times New Roman" w:hAnsi="Times New Roman" w:eastAsia="Times New Roman" w:cs="Times New Roman"/>
                <w:b w:val="0"/>
                <w:i w:val="0"/>
                <w:strike w:val="0"/>
                <w:sz w:val="24"/>
              </w:rPr>
            </w:pPr>
            <w:bookmarkStart w:id="11" w:name="Par475"/>
            <w:bookmarkEnd w:id="11"/>
            <w:r>
              <w:rPr>
                <w:rFonts w:ascii="Times New Roman" w:hAnsi="Times New Roman" w:eastAsia="Times New Roman" w:cs="Times New Roman"/>
                <w:b w:val="0"/>
                <w:i w:val="0"/>
                <w:strike w:val="0"/>
                <w:sz w:val="24"/>
              </w:rPr>
              <w:t xml:space="preserve">СМЕТА</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____________________________________________________</w:t>
            </w:r>
          </w:p>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(наименование объекта)</w:t>
            </w:r>
          </w:p>
        </w:tc>
      </w:tr>
      <w:tr>
        <w:trPr>
          <w:jc w:val="left"/>
        </w:trPr>
        <w:tc>
          <w:tcPr>
            <w:tcW w:w="9132" w:type="dxa"/>
          </w:tcPr>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Общая сметная стоимость ______________________________________________ руб.</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том числе:</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монтажных работ ______________________________________________________ руб.</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оборудования _________________________________________________________ руб.</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прочих затрат _________________________________________________________ руб.</w:t>
            </w:r>
          </w:p>
        </w:tc>
      </w:tr>
      <w:tr>
        <w:trPr>
          <w:jc w:val="left"/>
        </w:trPr>
        <w:tc>
          <w:tcPr>
            <w:tcW w:w="9132" w:type="dxa"/>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Цены по состоянию на "___"________ ___ г.</w:t>
            </w: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62" w:type="dxa"/>
          <w:top w:w="102" w:type="dxa"/>
          <w:right w:w="62" w:type="dxa"/>
          <w:bottom w:w="102" w:type="dxa"/>
        </w:tblCellMar>
      </w:tblPr>
      <w:tblGrid>
        <w:gridCol w:w="628"/>
        <w:gridCol w:w="1871"/>
        <w:gridCol w:w="1474"/>
        <w:gridCol w:w="1361"/>
        <w:gridCol w:w="1360"/>
        <w:gridCol w:w="1358"/>
        <w:gridCol w:w="1077"/>
      </w:tblGrid>
      <w:tr>
        <w:trPr>
          <w:jc w:val="left"/>
        </w:trPr>
        <w:tc>
          <w:tcPr>
            <w:tcW w:w="628" w:type="dxa"/>
            <w:v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N п/п</w:t>
            </w:r>
          </w:p>
        </w:tc>
        <w:tc>
          <w:tcPr>
            <w:tcW w:w="1871" w:type="dxa"/>
            <w:v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Наименование работ и затрат</w:t>
            </w:r>
          </w:p>
        </w:tc>
        <w:tc>
          <w:tcPr>
            <w:tcW w:w="1474" w:type="dxa"/>
            <w:v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Единица измерения</w:t>
            </w:r>
          </w:p>
        </w:tc>
        <w:tc>
          <w:tcPr>
            <w:tcW w:w="2721"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Количество</w:t>
            </w:r>
          </w:p>
        </w:tc>
        <w:tc>
          <w:tcPr>
            <w:tcW w:w="2435" w:type="dxa"/>
            <w:gridSpan w:val="2"/>
            <w:hMerge w:val="restart"/>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Стоимость, руб.</w:t>
            </w:r>
          </w:p>
        </w:tc>
      </w:tr>
      <w:tr>
        <w:trPr>
          <w:jc w:val="left"/>
        </w:trPr>
        <w:tc>
          <w:tcPr>
            <w:tcW w:w="628" w:type="dxa"/>
            <w:vMerge w:val="continue"/>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p>
        </w:tc>
        <w:tc>
          <w:tcPr>
            <w:tcW w:w="1871" w:type="dxa"/>
            <w:vMerge w:val="continue"/>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p>
        </w:tc>
        <w:tc>
          <w:tcPr>
            <w:tcW w:w="1474" w:type="dxa"/>
            <w:vMerge w:val="continue"/>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p>
        </w:tc>
        <w:tc>
          <w:tcPr>
            <w:tcW w:w="1361"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на единицу измерения</w:t>
            </w:r>
          </w:p>
        </w:tc>
        <w:tc>
          <w:tcPr>
            <w:tcW w:w="1360"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 проектным данным</w:t>
            </w:r>
          </w:p>
        </w:tc>
        <w:tc>
          <w:tcPr>
            <w:tcW w:w="1358"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единицы</w:t>
            </w:r>
          </w:p>
        </w:tc>
        <w:tc>
          <w:tcPr>
            <w:tcW w:w="1077" w:type="dxa"/>
            <w:tcBorders>
              <w:top w:val="single" w:sz="4"/>
              <w:left w:val="single" w:sz="4"/>
              <w:bottom w:val="single" w:sz="4"/>
              <w:right w:val="single" w:sz="4"/>
            </w:tcBorders>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общая</w:t>
            </w:r>
          </w:p>
        </w:tc>
      </w:tr>
      <w:tr>
        <w:trPr>
          <w:jc w:val="left"/>
        </w:trPr>
        <w:tc>
          <w:tcPr>
            <w:tcW w:w="628"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871"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474"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361"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360"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358"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077"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r>
        <w:trPr>
          <w:jc w:val="left"/>
        </w:trPr>
        <w:tc>
          <w:tcPr>
            <w:tcW w:w="628"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871"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474"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361"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360"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358"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c>
          <w:tcPr>
            <w:tcW w:w="1077" w:type="dxa"/>
            <w:tcBorders>
              <w:top w:val="single" w:sz="4"/>
              <w:left w:val="single" w:sz="4"/>
              <w:bottom w:val="single" w:sz="4"/>
              <w:right w:val="single" w:sz="4"/>
            </w:tcBorders>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62" w:type="dxa"/>
          <w:top w:w="102" w:type="dxa"/>
          <w:right w:w="62" w:type="dxa"/>
          <w:bottom w:w="102" w:type="dxa"/>
        </w:tblCellMar>
      </w:tblPr>
      <w:tblGrid>
        <w:gridCol w:w="3965"/>
        <w:gridCol w:w="5167"/>
      </w:tblGrid>
      <w:tr>
        <w:trPr>
          <w:jc w:val="left"/>
        </w:trPr>
        <w:tc>
          <w:tcPr>
            <w:tcW w:w="9132" w:type="dxa"/>
            <w:gridSpan w:val="2"/>
            <w:hMerge w:val="restart"/>
          </w:tcPr>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Составил:</w:t>
            </w:r>
          </w:p>
        </w:tc>
      </w:tr>
      <w:tr>
        <w:trPr>
          <w:jc w:val="left"/>
        </w:trPr>
        <w:tc>
          <w:tcPr>
            <w:tcW w:w="3965" w:type="dxa"/>
          </w:tcPr>
          <w:p>
            <w:pPr>
              <w:pStyle w:val="Style_0"/>
              <w:spacing w:before="0" w:after="0" w:line="240" w:lineRule="auto"/>
              <w:ind w:left="0" w:firstLine="0"/>
              <w:jc w:val="center"/>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 ____ г.</w:t>
            </w:r>
          </w:p>
        </w:tc>
        <w:tc>
          <w:tcPr>
            <w:tcW w:w="5167" w:type="dxa"/>
          </w:tcPr>
          <w:p>
            <w:pPr>
              <w:pStyle w:val="Style_0"/>
              <w:spacing w:before="0" w:after="0" w:line="240" w:lineRule="auto"/>
              <w:ind w:left="0" w:firstLine="0"/>
              <w:jc w:val="left"/>
              <w:rPr>
                <w:rFonts w:ascii="Times New Roman" w:hAnsi="Times New Roman" w:eastAsia="Times New Roman" w:cs="Times New Roman"/>
                <w:b w:val="0"/>
                <w:i w:val="0"/>
                <w:strike w:val="0"/>
                <w:sz w:val="24"/>
              </w:rPr>
            </w:pPr>
          </w:p>
        </w:tc>
      </w:tr>
      <w:tr>
        <w:trPr>
          <w:jc w:val="left"/>
        </w:trPr>
        <w:tc>
          <w:tcPr>
            <w:tcW w:w="9132" w:type="dxa"/>
            <w:gridSpan w:val="2"/>
            <w:hMerge w:val="restart"/>
          </w:tcPr>
          <w:p>
            <w:pPr>
              <w:pStyle w:val="Style_0"/>
              <w:spacing w:before="0" w:after="0" w:line="240" w:lineRule="auto"/>
              <w:ind w:left="0" w:firstLine="0"/>
              <w:jc w:val="lef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________________/______________ (подпись/Ф.И.О. председателя инициативной группы или ТОС)</w:t>
            </w: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right"/>
        <w:outlineLvl w:val="0"/>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Утвержден</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постановлением</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Администрации</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Приморского края</w:t>
      </w:r>
    </w:p>
    <w:p>
      <w:pPr>
        <w:pStyle w:val="Style_0"/>
        <w:spacing w:before="0" w:after="0" w:line="240" w:lineRule="auto"/>
        <w:ind w:left="0" w:firstLine="0"/>
        <w:jc w:val="right"/>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от 21.03.2019 N 170-па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2"/>
        <w:spacing w:before="0" w:after="0" w:line="240" w:lineRule="auto"/>
        <w:ind w:left="0" w:firstLine="0"/>
        <w:jc w:val="center"/>
        <w:rPr>
          <w:rFonts w:ascii="Arial" w:hAnsi="Arial" w:eastAsia="Arial" w:cs="Arial"/>
          <w:b/>
          <w:i w:val="0"/>
          <w:strike w:val="0"/>
          <w:sz w:val="24"/>
        </w:rPr>
      </w:pPr>
      <w:bookmarkStart w:id="12" w:name="Par524"/>
      <w:bookmarkEnd w:id="12"/>
      <w:r>
        <w:rPr>
          <w:rFonts w:ascii="Arial" w:hAnsi="Arial" w:eastAsia="Arial" w:cs="Arial"/>
          <w:b/>
          <w:i w:val="0"/>
          <w:strike w:val="0"/>
          <w:sz w:val="24"/>
        </w:rPr>
        <w:t xml:space="preserve">ПРАВИЛА</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ПРЕДОСТАВЛЕНИЯ И РАСПРЕДЕЛЕНИЯ ИНЫХ</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МЕЖБЮДЖЕТНЫХ ТРАНСФЕРТОВ БЮДЖЕТАМ МУНИЦИПАЛЬНЫХ</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ОБРАЗОВАНИЙ ПРИМОРСКОГО КРАЯ В ЦЕЛЯХ ПОДДЕРЖКИ ПРОЕКТОВ,</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ИНИЦИИРУЕМЫХ ЖИТЕЛЯМИ МУНИЦИПАЛЬНЫХ ОБРАЗОВАНИЙ ПРИМОРСКОГО</w:t>
      </w:r>
    </w:p>
    <w:p>
      <w:pPr>
        <w:pStyle w:val="Style_2"/>
        <w:spacing w:before="0" w:after="0" w:line="240" w:lineRule="auto"/>
        <w:ind w:left="0" w:firstLine="0"/>
        <w:jc w:val="center"/>
        <w:rPr>
          <w:rFonts w:ascii="Arial" w:hAnsi="Arial" w:eastAsia="Arial" w:cs="Arial"/>
          <w:b/>
          <w:i w:val="0"/>
          <w:strike w:val="0"/>
          <w:sz w:val="24"/>
        </w:rPr>
      </w:pPr>
      <w:r>
        <w:rPr>
          <w:rFonts w:ascii="Arial" w:hAnsi="Arial" w:eastAsia="Arial" w:cs="Arial"/>
          <w:b/>
          <w:i w:val="0"/>
          <w:strike w:val="0"/>
          <w:sz w:val="24"/>
        </w:rPr>
        <w:t xml:space="preserve">КРАЯ, ПО РЕШЕНИЮ ВОПРОСОВ МЕСТНОГО ЗНАЧЕНИЯ</w:t>
      </w:r>
    </w:p>
    <w:p>
      <w:pPr>
        <w:spacing w:before="0" w:after="0" w:line="240" w:lineRule="auto"/>
        <w:jc w:val="left"/>
        <w:rPr>
          <w:sz w:val="24"/>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fill="f4f3f8"/>
        <w:tblLayout w:type="autofit"/>
        <w:tblCellMar>
          <w:left w:w="0" w:type="dxa"/>
          <w:right w:w="0" w:type="dxa"/>
        </w:tblCellMar>
      </w:tblPr>
      <w:tblGrid>
        <w:gridCol w:w="60"/>
        <w:gridCol w:w="113"/>
        <w:gridCol w:w="9921"/>
        <w:gridCol w:w="113"/>
      </w:tblGrid>
      <w:tr>
        <w:tc>
          <w:tcPr>
            <w:tcW w:w="60" w:type="dxa"/>
            <w:shd w:val="clear" w:fill="ced3f1"/>
            <w:tcMar>
              <w:left w:w="0" w:type="dxa"/>
              <w:top w:w="0" w:type="dxa"/>
              <w:right w:w="0" w:type="dxa"/>
              <w:bottom w:w="0" w:type="dxa"/>
            </w:tcMar>
            <w:vAlign w:val="top"/>
          </w:tcPr>
          <w:p>
            <w:pPr>
              <w:spacing w:before="0" w:after="0" w:line="240" w:lineRule="auto"/>
              <w:jc w:val="left"/>
              <w:rPr>
                <w:sz w:val="24"/>
              </w:rPr>
            </w:pPr>
          </w:p>
        </w:tc>
        <w:tc>
          <w:tcPr>
            <w:tcW w:w="113" w:type="dxa"/>
            <w:shd w:val="clear" w:fill="f4f3f8"/>
            <w:tcMar>
              <w:left w:w="0" w:type="dxa"/>
              <w:top w:w="0" w:type="dxa"/>
              <w:right w:w="0" w:type="dxa"/>
              <w:bottom w:w="0" w:type="dxa"/>
            </w:tcMar>
            <w:vAlign w:val="top"/>
          </w:tcPr>
          <w:p>
            <w:pPr>
              <w:spacing w:before="0" w:after="0" w:line="240" w:lineRule="auto"/>
              <w:jc w:val="left"/>
              <w:rPr>
                <w:sz w:val="24"/>
              </w:rPr>
            </w:pPr>
          </w:p>
        </w:tc>
        <w:tc>
          <w:tcPr>
            <w:tcW w:w="9921" w:type="dxa"/>
            <w:shd w:val="clear" w:fill="f4f3f8"/>
            <w:tcMar>
              <w:left w:w="0" w:type="dxa"/>
              <w:top w:w="113" w:type="dxa"/>
              <w:right w:w="0" w:type="dxa"/>
              <w:bottom w:w="113"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Список изменяющих документов</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(в ред. Постановлений Правительства Приморского края</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31.03.2020 N 272-пп, от 15.02.2022 N 74-пп,</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02.12.2022 N 820-пп, от 24.05.2023 N 343-пп,</w:t>
            </w:r>
          </w:p>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r>
              <w:rPr>
                <w:rFonts w:ascii="Times New Roman" w:hAnsi="Times New Roman" w:eastAsia="Times New Roman" w:cs="Times New Roman"/>
                <w:b w:val="0"/>
                <w:i w:val="0"/>
                <w:strike w:val="0"/>
                <w:color w:val="392c69"/>
                <w:sz w:val="24"/>
              </w:rPr>
              <w:t xml:space="preserve">от 11.01.2024 N 4-пп)</w:t>
            </w:r>
          </w:p>
        </w:tc>
        <w:tc>
          <w:tcPr>
            <w:tcW w:w="113" w:type="dxa"/>
            <w:shd w:val="clear" w:fill="f4f3f8"/>
            <w:tcMar>
              <w:left w:w="0" w:type="dxa"/>
              <w:top w:w="0" w:type="dxa"/>
              <w:right w:w="0" w:type="dxa"/>
              <w:bottom w:w="0" w:type="dxa"/>
            </w:tcMar>
            <w:vAlign w:val="top"/>
          </w:tcPr>
          <w:p>
            <w:pPr>
              <w:pStyle w:val="Style_0"/>
              <w:spacing w:before="0" w:after="0" w:line="240" w:lineRule="auto"/>
              <w:ind w:left="0" w:firstLine="0"/>
              <w:jc w:val="center"/>
              <w:rPr>
                <w:rFonts w:ascii="Times New Roman" w:hAnsi="Times New Roman" w:eastAsia="Times New Roman" w:cs="Times New Roman"/>
                <w:b w:val="0"/>
                <w:i w:val="0"/>
                <w:strike w:val="0"/>
                <w:color w:val="392c69"/>
                <w:sz w:val="24"/>
              </w:rPr>
            </w:pPr>
          </w:p>
        </w:tc>
      </w:tr>
    </w:tbl>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 Настоящие Правила определяют цель, условия и порядок предоставления из краевого бюджета бюджетам муниципальных образований Приморского края иных межбюджетных трансфертов на гранты в целях поддержки проектов, инициируемых жителями муниципальных образований Приморского края, по решению вопросов местного значения (далее - гранты), а также методику их распределения.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02.12.2022 N 820-пп,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2. Гранты предоставляются муниципальным образованиям Приморского края, проекты которых признаны победителями в конкурсе, проводимом департаментом внутренней политики Приморского края (далее соответственно - муниципальные образования, проекты, департамент) в соответствии с Порядком проведения конкурса проектов, инициируемых жителями муниципальных образований Приморского края, по решению вопросов местного значения (далее соответственно - Порядок проведения конкурса, конкурс).</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 2 в ред. Постановления Правительства Приморского края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3. Грант предоставляется на финансовое обеспечение затрат, связанных с реализацией проектов.</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4. Департамент является главным распорядителем средств краевого бюджета, осуществляющим предоставление грантов в соответствии со сводной бюджетной росписью краевого бюджета, кассовым планом исполнения краевого бюджета в пределах лимитов бюджетных обязательств, доведенных в установленном порядке департаменту на указанные цели в текущем финансовом году.</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5. Предельные размеры гранта на финансовое обеспечение затрат, связанных с реализацией одного проекта, не могут превышать:</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1,5 млн рублей для проектов, разработанных группой граждан, представляющей интересы ТОС, зарегистрированного в качестве юридического лица;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 млн рублей для проектов, разработанных группой граждан, представляющей интересы ТОС без регистрации юридического лица, инициативными группами граждан.</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случае если размер планируемых расходов на реализацию проекта менее размера гранта, определенного в соответствии с настоящим пунктом, грант предоставляется муниципальному образованию в заявленном размере.</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 5 в ред. Постановления Правительства Приморского края от 11.01.2024 N 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bookmarkStart w:id="13" w:name="Par548"/>
      <w:bookmarkEnd w:id="13"/>
      <w:r>
        <w:rPr>
          <w:rFonts w:ascii="Times New Roman" w:hAnsi="Times New Roman" w:eastAsia="Times New Roman" w:cs="Times New Roman"/>
          <w:b w:val="0"/>
          <w:i w:val="0"/>
          <w:strike w:val="0"/>
          <w:sz w:val="24"/>
        </w:rPr>
        <w:t xml:space="preserve">6. Распределение грантов между муниципальными образованиями утверждается нормативным правовым актом Правительства Приморского края в течение 20 рабочих дней со дня размещения на сайте списков проектов-победителей в соответствии с Порядком проведения конкурса.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7. Предоставление гранта осуществляется на основании заключенного департаментом с муниципальным образованием соглашения о предоставлении гранта на финансовое обеспечение затрат, связанных с реализацией проектов по решению вопросов местного значения (далее - соглашение), в соответствии с типовой формой, утвержденной министерством финансов Приморского края, в котором предусматриваются в том числе следующие условия: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15.02.2022 N 74-пп,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перечисление гранта муниципальному образованию при наличии муниципального правового акта, устанавливающего расходное обязательство муниципального образования по реализации проекта;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обязательство о представлении уполномоченным органом местного самоуправления муниципального образования отчета о расходах бюджета муниципального образования, в целях финансового обеспечения которых предоставляется грант, отчета о достижении значений результатов предоставления гранта по формам, установленным соглашением;</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02.12.2022 N 820-пп)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значения результатов предоставления грантов, и обязательство муниципального образования по их достижению; размер гранта;</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15.02.2022 N 74-пп, от 02.12.2022 N 820-пп)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порядок осуществления контроля за выполнением условий, установленных при предоставлении гранта;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ответственность за нарушение условий, установленных при предоставлении гранта;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обязательство муниципального образования по осуществлению контроля за целевым использованием грантов;</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обязательство муниципального образования по информированию инициативных групп граждан, граждан, осуществляющих территориальное общественное самоуправление, об осуществлении соответствующих мероприятий в рамках реализации проекта с использованием средств гранта.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Департамент в течение пяти рабочих дней со дня принятия нормативного правового акта Правительства Приморского края, предусмотренного </w:t>
      </w:r>
      <w:hyperlink>
        <w:r>
          <w:rPr>
            <w:rFonts w:ascii="Times New Roman" w:hAnsi="Times New Roman" w:eastAsia="Times New Roman" w:cs="Times New Roman"/>
            <w:b w:val="0"/>
            <w:i w:val="0"/>
            <w:strike w:val="0"/>
            <w:color w:val="0000ff"/>
            <w:sz w:val="24"/>
          </w:rPr>
          <w:t xml:space="preserve">пунктом 6</w:t>
        </w:r>
      </w:hyperlink>
      <w:r>
        <w:rPr>
          <w:rFonts w:ascii="Times New Roman" w:hAnsi="Times New Roman" w:eastAsia="Times New Roman" w:cs="Times New Roman"/>
          <w:b w:val="0"/>
          <w:i w:val="0"/>
          <w:strike w:val="0"/>
          <w:sz w:val="24"/>
        </w:rPr>
        <w:t xml:space="preserve"> настоящих Правил, направляет в адрес муниципального образования проект соглашения для подписания в двух экземплярах.</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Уполномоченный орган местного самоуправления муниципального образования в течение семи рабочих дней со дня получения проекта соглашения представляет в департамент подписанное соглашение в двух экземплярах или имеющиеся замечания для устранения.</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Если в течение семи рабочих дней со дня получения проекта соглашения в департамент не представлены подписанное соглашение или имеющиеся замечания для устранения, то муниципальное образование теряет право на получение гранта.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Указанные средства перераспределяются очередному(ым) муниципальному(ым) образованию(ям), проекты которого(ых) находятся далее в рейтинге муниципальных образований, сформированном в соответствии с Порядком проведения конкурса, и не включены в список проектов - получателей грантов, в объеме, указанном в проекте, но не более остатка средств.</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введен Постановлением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Перераспределение средств осуществляется департаментом не позднее 20 рабочих дней путем внесения изменений в нормативный правовой акт Правительства Приморского края, указанный в </w:t>
      </w:r>
      <w:hyperlink>
        <w:r>
          <w:rPr>
            <w:rFonts w:ascii="Times New Roman" w:hAnsi="Times New Roman" w:eastAsia="Times New Roman" w:cs="Times New Roman"/>
            <w:b w:val="0"/>
            <w:i w:val="0"/>
            <w:strike w:val="0"/>
            <w:color w:val="0000ff"/>
            <w:sz w:val="24"/>
          </w:rPr>
          <w:t xml:space="preserve">пункте 6</w:t>
        </w:r>
      </w:hyperlink>
      <w:r>
        <w:rPr>
          <w:rFonts w:ascii="Times New Roman" w:hAnsi="Times New Roman" w:eastAsia="Times New Roman" w:cs="Times New Roman"/>
          <w:b w:val="0"/>
          <w:i w:val="0"/>
          <w:strike w:val="0"/>
          <w:sz w:val="24"/>
        </w:rPr>
        <w:t xml:space="preserve"> настоящих Правил.</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(абзац введен Постановлением Правительства Приморского края от 15.02.2022 N 74-пп)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8. Перечисление грантов в бюджеты муниципальных образований осуществляется с лицевого счета для учета операций по переданным полномочиям получателя бюджетных средств, открытого департаменту в Управлении Федерального казначейства по Приморскому краю, в пределах суммы грантов в течение пяти рабочих дней со дня поступления средств на лицевой счет департамента в соответствии с решением о распределении гранта, принятым в соответствии с </w:t>
      </w:r>
      <w:hyperlink>
        <w:r>
          <w:rPr>
            <w:rFonts w:ascii="Times New Roman" w:hAnsi="Times New Roman" w:eastAsia="Times New Roman" w:cs="Times New Roman"/>
            <w:b w:val="0"/>
            <w:i w:val="0"/>
            <w:strike w:val="0"/>
            <w:color w:val="0000ff"/>
            <w:sz w:val="24"/>
          </w:rPr>
          <w:t xml:space="preserve">пунктом 6</w:t>
        </w:r>
      </w:hyperlink>
      <w:r>
        <w:rPr>
          <w:rFonts w:ascii="Times New Roman" w:hAnsi="Times New Roman" w:eastAsia="Times New Roman" w:cs="Times New Roman"/>
          <w:b w:val="0"/>
          <w:i w:val="0"/>
          <w:strike w:val="0"/>
          <w:sz w:val="24"/>
        </w:rPr>
        <w:t xml:space="preserve"> настоящих Правил, но не позднее 20 рабочих дней со дня заключения соглашения.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 8 в ред. Постановления Правительства Приморского края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9. Гранты носят целевой характер и не могут использоваться на цели, не предусмотренные настоящим Порядком.</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10. Уполномоченный орган местного самоуправления муниципального образования представляет в департамент:</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отчет о расходах бюджета муниципального образования, в целях финансового обеспечения которых предоставляется грант, ежеквартально не позднее 10 числа месяца, следующего за отчетным кварталом, и копии документов, подтверждающих такие расходы;</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02.12.2022 N 820-пп,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отчет о достижении значений результатов предоставления гранта и подтверждающие документы не позднее 20 января финансового года, следующего за годом, в котором был предоставлен грант.</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02.12.2022 N 820-пп,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Формы вышеуказанных отчетов устанавливаются соглашением.</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случае если муниципальным образованием в силу объективных причин, в том числе погодные условия, техническая сложность проекта, необходимость выполнения императивных требований санитарно-эпидемиологических правил, норм, по состоянию на 31 декабря года предоставления гранта не достигнуты результаты предоставления гранта, уточненный отчет о достижении значений результатов предоставления гранта в соответствии с соглашением представляется в году, следующем за годом предоставления гранта, в срок до 1 июня.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02.12.2022 N 820-пп)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срок до 15 января года, следующего за годом предоставления гранта, муниципальное образование Приморского края направляет в адрес департамента уведомление о невозможности достижения результатов предоставления гранта, с указанием объективной причины.</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Постановлений Правительства Приморского края от 15.02.2022 N 74-пп, от 02.12.2022 N 820-пп)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11. Оценка эффективности предоставления гранта осуществляется департаментом (за отчетный финансовый год) по целевым показателям результативности предоставления гранта путем сравнения установленных соглашением и фактически достигнутых значений по следующим целевым показателям результативности предоставления гранта: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количество граждан, участвующих в реализации проекта;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информационное обеспечение: количество публикаций в средствах массовой информации, в социальных сетях в информационно-телекоммуникационной сети Интернет о ходе реализации проекта;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фотофиксация этапов реализации проекта с начала до окончания.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 11 в ред. Постановления Правительства Приморского края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12. В случае если муниципальным образованием допущены нарушения требований настоящих Правил, в том числе выявленные по итогам проверок, муниципальное образование обеспечивает возврат в доход краевого бюджета суммы гранта на основании требования о возврате гранта в краевой бюджет (далее - требование) в следующем порядке, сроки и размерах:</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случае выявления нарушения - в полном размере в течение 10 рабочих дней со дня получения требования (за исключением случая не достижения значений результатов предоставления гранта);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случае не достижения значений результатов предоставления гранта - в течение 10 рабочих дней со дня получения требования в размере, рассчитанном по формуле:</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Vвозврата = Vгранта x k, где:</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Vгранта - размер предоставленного гранта;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k - коэффициент возврата гранта, который рассчитывается по формуле:</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k = 100% - (T / S x 100)%, где:</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T - фактически достигнутое значение результата предоставления гранта на отчетную дату;</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S - плановое значение результата предоставления гранта.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Требование направляется департаментом в пятидневный срок со дня установления нарушения.</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Возврат гранта производится уполномоченным органом местного самоуправления муниципального образования по реквизитам и коду бюджетной классификации Российской Федерации, указанным в требовании.</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(п. 12 в ред. Постановления Правительства Приморского края от 24.05.2023 N 343-пп)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13. Ответственность за достижение результатов предоставления гранта, целевое использование гранта, достоверность представляемых в департамент документов и отчетов возлагается на уполномоченный орган местного самоуправления муниципального образования.</w:t>
      </w:r>
    </w:p>
    <w:p>
      <w:pPr>
        <w:pStyle w:val="Style_0"/>
        <w:spacing w:before="0" w:after="0" w:line="240" w:lineRule="auto"/>
        <w:ind w:left="0" w:firstLine="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(в ред. Постановления Правительства Приморского края от 02.12.2022 N 820-пп)</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14. Гранты, не использованные муниципальными образованиями в текущем финансовом году, подлежат возврату в краевой бюджет в соответствии с Бюджетным кодексом Российской Федерации. В случае если неиспользованный остаток гранта не перечислен в доход краевого бюджета, указанные средства подлежат взысканию в краевой бюджет в порядке, установленном министерством финансов Приморского края.</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15. Департамент обеспечивает соблюдение муниципальными образованиями условий, целей и порядка, установленных при предоставлении гранта.</w:t>
      </w:r>
    </w:p>
    <w:p>
      <w:pPr>
        <w:pStyle w:val="Style_0"/>
        <w:spacing w:before="240" w:after="0" w:line="240" w:lineRule="auto"/>
        <w:ind w:left="0" w:firstLine="540"/>
        <w:jc w:val="both"/>
        <w:rPr>
          <w:rFonts w:ascii="Times New Roman" w:hAnsi="Times New Roman" w:eastAsia="Times New Roman" w:cs="Times New Roman"/>
          <w:b w:val="0"/>
          <w:i w:val="0"/>
          <w:strike w:val="0"/>
          <w:sz w:val="24"/>
        </w:rPr>
      </w:pPr>
      <w:r>
        <w:rPr>
          <w:rFonts w:ascii="Times New Roman" w:hAnsi="Times New Roman" w:eastAsia="Times New Roman" w:cs="Times New Roman"/>
          <w:b w:val="0"/>
          <w:i w:val="0"/>
          <w:strike w:val="0"/>
          <w:sz w:val="24"/>
        </w:rPr>
        <w:t xml:space="preserve">16. Исключен. - Постановление Правительства Приморского края от 24.05.2023 N 343-пп.</w:t>
      </w: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spacing w:before="0" w:after="0" w:line="240" w:lineRule="auto"/>
        <w:ind w:left="0" w:firstLine="0"/>
        <w:jc w:val="both"/>
        <w:rPr>
          <w:rFonts w:ascii="Times New Roman" w:hAnsi="Times New Roman" w:eastAsia="Times New Roman" w:cs="Times New Roman"/>
          <w:b w:val="0"/>
          <w:i w:val="0"/>
          <w:strike w:val="0"/>
          <w:sz w:val="24"/>
        </w:rPr>
      </w:pPr>
    </w:p>
    <w:p>
      <w:pPr>
        <w:pStyle w:val="Style_0"/>
        <w:pBdr>
          <w:top w:val="single"/>
        </w:pBdr>
        <w:spacing w:before="100" w:after="100" w:line="240" w:lineRule="auto"/>
        <w:ind w:left="0" w:firstLine="0"/>
        <w:jc w:val="both"/>
        <w:rPr>
          <w:rFonts w:ascii="Times New Roman" w:hAnsi="Times New Roman" w:eastAsia="Times New Roman" w:cs="Times New Roman"/>
          <w:b w:val="0"/>
          <w:i w:val="0"/>
          <w:strike w:val="0"/>
          <w:sz w:val="0"/>
        </w:rPr>
      </w:pPr>
    </w:p>
    <w:sectPr>
      <w:headerReference w:type="default" r:id="rId8"/>
      <w:footerReference w:type="default" r:id="rId9"/>
      <w:type w:val="nextPage"/>
      <w:pgSz w:w="11906" w:h="16838"/>
      <w:pgMar w:top="1440" w:right="566" w:bottom="1440" w:left="1133" w:header="0" w:footer="0" w:gutter="0"/>
      <w:cols w:num="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0">
    <w:p>
      <w:pPr>
        <w:jc w:val="left"/>
      </w:pPr>
      <w:r>
        <w:separator/>
      </w:r>
    </w:p>
  </w:endnote>
  <w:endnote w:type="continuationSeparator" w:id="1">
    <w:p>
      <w:pPr>
        <w:jc w:val="left"/>
      </w:pPr>
      <w:r>
        <w: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409020205020404"/>
  </w:font>
  <w:font w:name="Times New Roman">
    <w:panose1 w:val="020206030504050203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sz="12"/>
      </w:pBdr>
      <w:spacing w:before="0" w:after="0" w:line="240" w:lineRule="auto"/>
      <w:jc w:val="center"/>
      <w:rPr>
        <w:sz w:val="1"/>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left w:w="0" w:type="dxa"/>
        <w:right w:w="0" w:type="dxa"/>
      </w:tblCellMar>
    </w:tblPr>
    <w:tblGrid>
      <w:gridCol w:w="3368"/>
      <w:gridCol w:w="3470"/>
      <w:gridCol w:w="3369"/>
    </w:tblGrid>
    <w:tr>
      <w:trPr>
        <w:trHeight w:val="1663" w:hRule="exact"/>
      </w:trPr>
      <w:tc>
        <w:tcPr>
          <w:tcW w:w="3368" w:type="dxa"/>
          <w:tcBorders>
            <w:top w:val="none" w:sz="2"/>
            <w:left w:val="none" w:sz="2"/>
            <w:bottom w:val="none" w:sz="2"/>
            <w:right w:val="none" w:sz="2"/>
          </w:tcBorders>
          <w:vAlign w:val="center"/>
        </w:tcPr>
        <w:p>
          <w:pPr>
            <w:spacing w:before="0" w:after="0" w:line="240" w:lineRule="auto"/>
            <w:jc w:val="left"/>
            <w:rPr>
              <w:rFonts w:ascii="Tahoma" w:hAnsi="Tahoma" w:eastAsia="Tahoma" w:cs="Tahoma"/>
              <w:b/>
              <w:i w:val="0"/>
              <w:color w:val="f58220"/>
              <w:sz w:val="28"/>
            </w:rPr>
          </w:pPr>
          <w:r>
            <w:rPr>
              <w:rFonts w:ascii="Tahoma" w:hAnsi="Tahoma" w:eastAsia="Tahoma" w:cs="Tahoma"/>
              <w:b/>
              <w:i w:val="0"/>
              <w:color w:val="f58220"/>
              <w:sz w:val="28"/>
            </w:rPr>
            <w:t xml:space="preserve">КонсультантПлюс</w:t>
          </w:r>
          <w:r>
            <w:rPr>
              <w:rFonts w:ascii="Tahoma" w:hAnsi="Tahoma" w:eastAsia="Tahoma" w:cs="Tahoma"/>
              <w:b/>
              <w:i w:val="0"/>
              <w:color w:val="auto"/>
              <w:sz w:val="16"/>
            </w:rPr>
            <w:br/>
          </w:r>
          <w:r>
            <w:rPr>
              <w:rFonts w:ascii="Tahoma" w:hAnsi="Tahoma" w:eastAsia="Tahoma" w:cs="Tahoma"/>
              <w:b/>
              <w:i w:val="0"/>
              <w:color w:val="auto"/>
              <w:sz w:val="16"/>
            </w:rPr>
            <w:t xml:space="preserve">надежная правовая поддержка</w:t>
          </w:r>
        </w:p>
      </w:tc>
      <w:tc>
        <w:tcPr>
          <w:tcW w:w="3470" w:type="dxa"/>
          <w:tcBorders>
            <w:top w:val="none" w:sz="2"/>
            <w:left w:val="none" w:sz="2"/>
            <w:bottom w:val="none" w:sz="2"/>
            <w:right w:val="none" w:sz="2"/>
          </w:tcBorders>
          <w:vAlign w:val="center"/>
        </w:tcPr>
        <w:p>
          <w:pPr>
            <w:spacing w:before="0" w:after="0" w:line="240" w:lineRule="auto"/>
            <w:jc w:val="center"/>
            <w:rPr>
              <w:rFonts w:ascii="Tahoma" w:hAnsi="Tahoma" w:eastAsia="Tahoma" w:cs="Tahoma"/>
              <w:b/>
              <w:i w:val="0"/>
              <w:sz w:val="20"/>
            </w:rPr>
          </w:pPr>
          <w:hyperlink r:id="rId1">
            <w:r>
              <w:rPr>
                <w:rFonts w:ascii="Tahoma" w:hAnsi="Tahoma" w:eastAsia="Tahoma" w:cs="Tahoma"/>
                <w:b/>
                <w:i w:val="0"/>
                <w:color w:val="0000ff"/>
                <w:sz w:val="20"/>
              </w:rPr>
              <w:t xml:space="preserve">www.consultant.ru</w:t>
            </w:r>
          </w:hyperlink>
        </w:p>
      </w:tc>
      <w:tc>
        <w:tcPr>
          <w:tcW w:w="3369" w:type="dxa"/>
          <w:tcBorders>
            <w:top w:val="none" w:sz="2"/>
            <w:left w:val="none" w:sz="2"/>
            <w:bottom w:val="none" w:sz="2"/>
            <w:right w:val="none" w:sz="2"/>
          </w:tcBorders>
          <w:vAlign w:val="center"/>
        </w:tcPr>
        <w:p>
          <w:pPr>
            <w:spacing w:before="0" w:after="0" w:line="240" w:lineRule="auto"/>
            <w:jc w:val="right"/>
            <w:rPr>
              <w:rFonts w:ascii="Tahoma" w:hAnsi="Tahoma" w:eastAsia="Tahoma" w:cs="Tahoma"/>
              <w:b w:val="0"/>
              <w:i w:val="0"/>
              <w:sz w:val="20"/>
            </w:rPr>
          </w:pPr>
          <w:r>
            <w:rPr>
              <w:rFonts w:ascii="Tahoma" w:hAnsi="Tahoma" w:eastAsia="Tahoma" w:cs="Tahoma"/>
              <w:b w:val="0"/>
              <w:i w:val="0"/>
              <w:sz w:val="20"/>
            </w:rPr>
            <w:t xml:space="preserve">Страница </w:t>
          </w:r>
          <w:r>
            <w:fldChar w:fldCharType="begin"/>
          </w:r>
          <w:r>
            <w:instrText xml:space="preserve">\PAGE</w:instrText>
          </w:r>
          <w:r>
            <w:fldChar w:fldCharType="separate"/>
          </w:r>
          <w:r>
            <w:fldChar w:fldCharType="end"/>
          </w:r>
          <w:r>
            <w:rPr>
              <w:rFonts w:ascii="Tahoma" w:hAnsi="Tahoma" w:eastAsia="Tahoma" w:cs="Tahoma"/>
              <w:b w:val="0"/>
              <w:i w:val="0"/>
              <w:sz w:val="20"/>
            </w:rPr>
            <w:t xml:space="preserve"> из </w:t>
          </w:r>
          <w:r>
            <w:fldChar w:fldCharType="begin"/>
          </w:r>
          <w:r>
            <w:instrText xml:space="preserve">\NUMPAGES</w:instrText>
          </w:r>
          <w:r>
            <w:fldChar w:fldCharType="separate"/>
          </w:r>
          <w:r>
            <w:fldChar w:fldCharType="end"/>
          </w:r>
        </w:p>
      </w:tc>
    </w:tr>
  </w:tbl>
  <w:p>
    <w:pPr>
      <w:spacing w:before="0" w:after="0" w:line="240" w:lineRule="auto"/>
      <w:jc w:val="left"/>
      <w:rPr>
        <w:sz w:val="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0">
    <w:p>
      <w:pPr>
        <w:jc w:val="left"/>
      </w:pPr>
      <w:r>
        <w:separator/>
      </w:r>
    </w:p>
  </w:footnote>
  <w:footnote w:type="continuationSeparator" w:id="1">
    <w:p>
      <w:pPr>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left w:w="0" w:type="dxa"/>
        <w:right w:w="0" w:type="dxa"/>
      </w:tblCellMar>
    </w:tblPr>
    <w:tblGrid>
      <w:gridCol w:w="5511"/>
      <w:gridCol w:w="4695"/>
    </w:tblGrid>
    <w:tr>
      <w:trPr>
        <w:trHeight w:val="1683" w:hRule="exact"/>
      </w:trPr>
      <w:tc>
        <w:tcPr>
          <w:tcW w:w="5511" w:type="dxa"/>
          <w:tcBorders>
            <w:top w:val="none" w:sz="2"/>
            <w:left w:val="none" w:sz="2"/>
            <w:bottom w:val="none" w:sz="2"/>
            <w:right w:val="none" w:sz="2"/>
          </w:tcBorders>
          <w:vAlign w:val="center"/>
        </w:tcPr>
        <w:p>
          <w:pPr>
            <w:spacing w:before="0" w:after="0" w:line="240" w:lineRule="auto"/>
            <w:jc w:val="left"/>
            <w:rPr>
              <w:rFonts w:ascii="Tahoma" w:hAnsi="Tahoma" w:eastAsia="Tahoma" w:cs="Tahoma"/>
              <w:b w:val="0"/>
              <w:i w:val="0"/>
              <w:sz w:val="16"/>
            </w:rPr>
          </w:pPr>
          <w:r>
            <w:rPr>
              <w:rFonts w:ascii="Tahoma" w:hAnsi="Tahoma" w:eastAsia="Tahoma" w:cs="Tahoma"/>
              <w:b w:val="0"/>
              <w:i w:val="0"/>
              <w:sz w:val="16"/>
            </w:rPr>
            <w:t xml:space="preserve">Постановление Администрации Приморского края от 21.03.2019 N 170-па</w:t>
          </w:r>
          <w:r>
            <w:rPr>
              <w:rFonts w:ascii="Tahoma" w:hAnsi="Tahoma" w:eastAsia="Tahoma" w:cs="Tahoma"/>
              <w:b w:val="0"/>
              <w:i w:val="0"/>
              <w:sz w:val="16"/>
            </w:rPr>
            <w:br/>
          </w:r>
          <w:r>
            <w:rPr>
              <w:rFonts w:ascii="Tahoma" w:hAnsi="Tahoma" w:eastAsia="Tahoma" w:cs="Tahoma"/>
              <w:b w:val="0"/>
              <w:i w:val="0"/>
              <w:sz w:val="16"/>
            </w:rPr>
            <w:t xml:space="preserve">(ред. от 03.05.2024)</w:t>
          </w:r>
          <w:r>
            <w:rPr>
              <w:rFonts w:ascii="Tahoma" w:hAnsi="Tahoma" w:eastAsia="Tahoma" w:cs="Tahoma"/>
              <w:b w:val="0"/>
              <w:i w:val="0"/>
              <w:sz w:val="16"/>
            </w:rPr>
            <w:br/>
          </w:r>
          <w:r>
            <w:rPr>
              <w:rFonts w:ascii="Tahoma" w:hAnsi="Tahoma" w:eastAsia="Tahoma" w:cs="Tahoma"/>
              <w:b w:val="0"/>
              <w:i w:val="0"/>
              <w:sz w:val="16"/>
            </w:rPr>
            <w:t xml:space="preserve">"О грантах победителям конкурса...</w:t>
          </w:r>
        </w:p>
      </w:tc>
      <w:tc>
        <w:tcPr>
          <w:tcW w:w="4695" w:type="dxa"/>
          <w:tcBorders>
            <w:top w:val="none" w:sz="2"/>
            <w:left w:val="none" w:sz="2"/>
            <w:bottom w:val="none" w:sz="2"/>
            <w:right w:val="none" w:sz="2"/>
          </w:tcBorders>
          <w:vAlign w:val="center"/>
        </w:tcPr>
        <w:p>
          <w:pPr>
            <w:spacing w:before="0" w:after="0" w:line="240" w:lineRule="auto"/>
            <w:jc w:val="right"/>
            <w:rPr>
              <w:rFonts w:ascii="Tahoma" w:hAnsi="Tahoma" w:eastAsia="Tahoma" w:cs="Tahoma"/>
              <w:b w:val="0"/>
              <w:i w:val="0"/>
              <w:sz w:val="16"/>
            </w:rPr>
          </w:pPr>
          <w:r>
            <w:rPr>
              <w:rFonts w:ascii="Tahoma" w:hAnsi="Tahoma" w:eastAsia="Tahoma" w:cs="Tahoma"/>
              <w:b w:val="0"/>
              <w:i w:val="0"/>
              <w:sz w:val="18"/>
            </w:rPr>
            <w:t xml:space="preserve">Документ предоставлен </w:t>
          </w:r>
          <w:hyperlink r:id="rId1">
            <w:r>
              <w:rPr>
                <w:rFonts w:ascii="Tahoma" w:hAnsi="Tahoma" w:eastAsia="Tahoma" w:cs="Tahoma"/>
                <w:b w:val="0"/>
                <w:i w:val="0"/>
                <w:color w:val="0000ff"/>
                <w:sz w:val="18"/>
              </w:rPr>
              <w:t xml:space="preserve">КонсультантПлюс</w:t>
            </w:r>
          </w:hyperlink>
          <w:r>
            <w:rPr>
              <w:rFonts w:ascii="Tahoma" w:hAnsi="Tahoma" w:eastAsia="Tahoma" w:cs="Tahoma"/>
              <w:b w:val="0"/>
              <w:i w:val="0"/>
              <w:sz w:val="18"/>
            </w:rPr>
            <w:br/>
          </w:r>
          <w:r>
            <w:rPr>
              <w:rFonts w:ascii="Tahoma" w:hAnsi="Tahoma" w:eastAsia="Tahoma" w:cs="Tahoma"/>
              <w:b w:val="0"/>
              <w:i w:val="0"/>
              <w:sz w:val="16"/>
            </w:rPr>
            <w:t xml:space="preserve">Дата сохранения: 31.01.2025</w:t>
          </w:r>
        </w:p>
      </w:tc>
    </w:tr>
  </w:tbl>
  <w:p>
    <w:pPr>
      <w:pBdr>
        <w:bottom w:val="single" w:sz="12"/>
      </w:pBdr>
      <w:spacing w:before="0" w:after="0" w:line="240" w:lineRule="auto"/>
      <w:jc w:val="center"/>
      <w:rPr>
        <w:sz w:val="1"/>
      </w:rPr>
    </w:pPr>
  </w:p>
  <w:p>
    <w:pPr>
      <w:spacing w:before="0" w:after="0" w:line="240" w:lineRule="auto"/>
      <w:jc w:val="center"/>
      <w:rPr>
        <w:sz w:val="10"/>
      </w:rPr>
    </w:pPr>
    <w:r>
      <w:rPr>
        <w:sz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forgetLastTabAlignment w:val="true"/>
    <w:doNotUseHTMLParagraphAutoSpacing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4"/>
      </w:rPr>
    </w:rPrDefault>
    <w:pPrDefault>
      <w:pPr>
        <w:spacing w:before="0" w:after="0" w:line="240" w:lineRule="auto"/>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Style_0" w:default="1">
    <w:name w:val="       ConsPlusNormal"/>
    <w:pPr>
      <w:spacing w:before="0" w:after="0" w:line="240" w:lineRule="auto"/>
      <w:jc w:val="left"/>
    </w:pPr>
    <w:rPr>
      <w:rFonts w:ascii="Times New Roman" w:hAnsi="Times New Roman" w:eastAsia="Times New Roman" w:cs="Times New Roman"/>
      <w:b w:val="0"/>
      <w:i w:val="0"/>
      <w:strike w:val="0"/>
      <w:sz w:val="24"/>
    </w:rPr>
  </w:style>
  <w:style w:type="paragraph" w:styleId="Style_1">
    <w:name w:val="       ConsPlusNonformat"/>
    <w:pPr>
      <w:spacing w:before="0" w:after="0" w:line="240" w:lineRule="auto"/>
      <w:jc w:val="left"/>
    </w:pPr>
    <w:rPr>
      <w:rFonts w:ascii="Courier New" w:hAnsi="Courier New" w:eastAsia="Courier New" w:cs="Courier New"/>
      <w:b w:val="0"/>
      <w:i w:val="0"/>
      <w:strike w:val="0"/>
      <w:sz w:val="20"/>
    </w:rPr>
  </w:style>
  <w:style w:type="paragraph" w:styleId="Style_2">
    <w:name w:val="       ConsPlusTitle"/>
    <w:pPr>
      <w:spacing w:before="0" w:after="0" w:line="240" w:lineRule="auto"/>
      <w:jc w:val="left"/>
    </w:pPr>
    <w:rPr>
      <w:rFonts w:ascii="Arial" w:hAnsi="Arial" w:eastAsia="Arial" w:cs="Arial"/>
      <w:b/>
      <w:i w:val="0"/>
      <w:strike w:val="0"/>
      <w:sz w:val="24"/>
    </w:rPr>
  </w:style>
  <w:style w:type="paragraph" w:styleId="Style_3">
    <w:name w:val="       ConsPlusCell"/>
    <w:pPr>
      <w:spacing w:before="0" w:after="0" w:line="240" w:lineRule="auto"/>
      <w:jc w:val="left"/>
    </w:pPr>
    <w:rPr>
      <w:rFonts w:ascii="Courier New" w:hAnsi="Courier New" w:eastAsia="Courier New" w:cs="Courier New"/>
      <w:b w:val="0"/>
      <w:i w:val="0"/>
      <w:strike w:val="0"/>
      <w:sz w:val="20"/>
    </w:rPr>
  </w:style>
  <w:style w:type="paragraph" w:styleId="Style_4">
    <w:name w:val="       ConsPlusDocList"/>
    <w:pPr>
      <w:spacing w:before="0" w:after="0" w:line="240" w:lineRule="auto"/>
      <w:jc w:val="left"/>
    </w:pPr>
    <w:rPr>
      <w:rFonts w:ascii="Tahoma" w:hAnsi="Tahoma" w:eastAsia="Tahoma" w:cs="Tahoma"/>
      <w:b w:val="0"/>
      <w:i w:val="0"/>
      <w:strike w:val="0"/>
      <w:sz w:val="18"/>
    </w:rPr>
  </w:style>
  <w:style w:type="paragraph" w:styleId="Style_5">
    <w:name w:val="       ConsPlusTitlePage"/>
    <w:pPr>
      <w:spacing w:before="0" w:after="0" w:line="240" w:lineRule="auto"/>
      <w:jc w:val="left"/>
    </w:pPr>
    <w:rPr>
      <w:rFonts w:ascii="Tahoma" w:hAnsi="Tahoma" w:eastAsia="Tahoma" w:cs="Tahoma"/>
      <w:b w:val="0"/>
      <w:i w:val="0"/>
      <w:strike w:val="0"/>
      <w:sz w:val="24"/>
    </w:rPr>
  </w:style>
  <w:style w:type="paragraph" w:styleId="Style_6">
    <w:name w:val="       ConsPlusJurTerm"/>
    <w:pPr>
      <w:spacing w:before="0" w:after="0" w:line="240" w:lineRule="auto"/>
      <w:jc w:val="left"/>
    </w:pPr>
    <w:rPr>
      <w:rFonts w:ascii="Tahoma" w:hAnsi="Tahoma" w:eastAsia="Tahoma" w:cs="Tahoma"/>
      <w:b w:val="0"/>
      <w:i w:val="0"/>
      <w:strike w:val="0"/>
      <w:sz w:val="26"/>
    </w:rPr>
  </w:style>
  <w:style w:type="paragraph" w:styleId="Style_7">
    <w:name w:val="       ConsPlusTextList"/>
    <w:pPr>
      <w:spacing w:before="0" w:after="0" w:line="240" w:lineRule="auto"/>
      <w:jc w:val="left"/>
    </w:pPr>
    <w:rPr>
      <w:rFonts w:ascii="Times New Roman" w:hAnsi="Times New Roman" w:eastAsia="Times New Roman" w:cs="Times New Roman"/>
      <w:b w:val="0"/>
      <w:i w:val="0"/>
      <w:strike w:val="0"/>
      <w:sz w:val="24"/>
    </w:rPr>
  </w:style>
  <w:style w:type="paragraph" w:styleId="Style_8">
    <w:name w:val="       ConsPlusTextList"/>
    <w:pPr>
      <w:spacing w:before="0" w:after="0" w:line="240" w:lineRule="auto"/>
      <w:jc w:val="left"/>
    </w:pPr>
    <w:rPr>
      <w:rFonts w:ascii="Times New Roman" w:hAnsi="Times New Roman" w:eastAsia="Times New Roman" w:cs="Times New Roman"/>
      <w:b w:val="0"/>
      <w:i w:val="0"/>
      <w:strike w:val="0"/>
      <w:sz w:val="24"/>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 Id="rId13" Type="http://schemas.openxmlformats.org/officeDocument/2006/relationships/hyperlink" Target="https://primorsky.ru/authorities/executive-agencies/departments/internal-policy/"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Р7-Офис/2024.3.2.551</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Приморского края от 21.03.2019 N 170-па(ред. от 03.05.2024)&amp;quot;О грантах победителям конкурса проектов, инициируемых жителями муниципальных образований Приморского края, по решению вопросов местного значения&amp;quot;(вместе с &amp;quot;Порядком проведения конкурса проектов...&amp;quot;, &amp;quot;Порядком предоставления и распределения иных межбюджетных трансфертов...&amp;quot;)</dc:title>
  <dc:creator/>
  <cp:lastModifiedBy/>
</cp:coreProperties>
</file>